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C22" w:rsidRDefault="009C5143" w:rsidP="009C5143">
      <w:pPr>
        <w:spacing w:beforeLines="50" w:afterLines="50" w:line="360" w:lineRule="auto"/>
        <w:jc w:val="center"/>
        <w:rPr>
          <w:rFonts w:ascii="仿宋" w:eastAsia="仿宋" w:hAnsi="仿宋" w:cs="仿宋"/>
          <w:bCs/>
          <w:sz w:val="36"/>
        </w:rPr>
      </w:pPr>
      <w:r>
        <w:rPr>
          <w:rFonts w:ascii="仿宋" w:eastAsia="仿宋" w:hAnsi="仿宋" w:cs="仿宋" w:hint="eastAsia"/>
          <w:bCs/>
          <w:sz w:val="36"/>
        </w:rPr>
        <w:t>海南省</w:t>
      </w:r>
      <w:r w:rsidR="00BC4057">
        <w:rPr>
          <w:rFonts w:ascii="仿宋" w:eastAsia="仿宋" w:hAnsi="仿宋" w:cs="仿宋" w:hint="eastAsia"/>
          <w:bCs/>
          <w:sz w:val="36"/>
        </w:rPr>
        <w:t>2017</w:t>
      </w:r>
      <w:r>
        <w:rPr>
          <w:rFonts w:ascii="仿宋" w:eastAsia="仿宋" w:hAnsi="仿宋" w:cs="仿宋" w:hint="eastAsia"/>
          <w:bCs/>
          <w:sz w:val="36"/>
        </w:rPr>
        <w:t>年市县</w:t>
      </w:r>
      <w:r w:rsidR="00BC4057">
        <w:rPr>
          <w:rFonts w:ascii="仿宋" w:eastAsia="仿宋" w:hAnsi="仿宋" w:cs="仿宋" w:hint="eastAsia"/>
          <w:bCs/>
          <w:sz w:val="36"/>
        </w:rPr>
        <w:t>政务公开第三方评估报告</w:t>
      </w:r>
    </w:p>
    <w:p w:rsidR="00493C22" w:rsidRDefault="00BC4057">
      <w:pPr>
        <w:ind w:firstLineChars="200" w:firstLine="560"/>
        <w:jc w:val="left"/>
        <w:rPr>
          <w:rFonts w:ascii="仿宋" w:eastAsia="仿宋" w:hAnsi="仿宋" w:cs="仿宋"/>
          <w:bCs/>
          <w:sz w:val="28"/>
          <w:szCs w:val="28"/>
        </w:rPr>
      </w:pPr>
      <w:r>
        <w:rPr>
          <w:rFonts w:ascii="仿宋" w:eastAsia="仿宋" w:hAnsi="仿宋" w:cs="仿宋" w:hint="eastAsia"/>
          <w:bCs/>
          <w:sz w:val="28"/>
          <w:szCs w:val="28"/>
        </w:rPr>
        <w:t>受海南省人民政府办公厅委托，海南大学法学院法治政府建设工程项目组，通过查阅评估对象网站及验证等方式，于2017年11月10日至2017年12月31日对海南省政府</w:t>
      </w:r>
      <w:r>
        <w:rPr>
          <w:rFonts w:ascii="仿宋" w:eastAsia="仿宋" w:hAnsi="仿宋" w:cs="仿宋"/>
          <w:bCs/>
          <w:sz w:val="28"/>
          <w:szCs w:val="28"/>
        </w:rPr>
        <w:t>22</w:t>
      </w:r>
      <w:r>
        <w:rPr>
          <w:rFonts w:ascii="仿宋" w:eastAsia="仿宋" w:hAnsi="仿宋" w:cs="仿宋" w:hint="eastAsia"/>
          <w:bCs/>
          <w:sz w:val="28"/>
          <w:szCs w:val="28"/>
        </w:rPr>
        <w:t>个市（县）2017年政务公开工作进行了第三方评估。现将总体情况报告如下。</w:t>
      </w:r>
    </w:p>
    <w:p w:rsidR="00493C22" w:rsidRDefault="00BC4057">
      <w:pPr>
        <w:rPr>
          <w:rFonts w:ascii="仿宋" w:eastAsia="仿宋" w:hAnsi="仿宋" w:cs="仿宋"/>
          <w:b/>
          <w:sz w:val="28"/>
          <w:szCs w:val="28"/>
        </w:rPr>
      </w:pPr>
      <w:r>
        <w:rPr>
          <w:rFonts w:ascii="仿宋" w:eastAsia="仿宋" w:hAnsi="仿宋" w:cs="仿宋" w:hint="eastAsia"/>
          <w:b/>
          <w:sz w:val="28"/>
          <w:szCs w:val="28"/>
        </w:rPr>
        <w:t>第一部分  评估总体情况</w:t>
      </w:r>
    </w:p>
    <w:p w:rsidR="00493C22" w:rsidRDefault="00BC4057">
      <w:pPr>
        <w:pStyle w:val="a8"/>
        <w:numPr>
          <w:ilvl w:val="0"/>
          <w:numId w:val="1"/>
        </w:numPr>
        <w:ind w:firstLineChars="0"/>
        <w:rPr>
          <w:rFonts w:ascii="仿宋" w:eastAsia="仿宋" w:hAnsi="仿宋" w:cs="仿宋"/>
          <w:b/>
          <w:color w:val="000000"/>
          <w:kern w:val="0"/>
          <w:sz w:val="28"/>
          <w:szCs w:val="28"/>
        </w:rPr>
      </w:pPr>
      <w:r>
        <w:rPr>
          <w:rFonts w:ascii="仿宋" w:eastAsia="仿宋" w:hAnsi="仿宋" w:cs="仿宋" w:hint="eastAsia"/>
          <w:b/>
          <w:color w:val="000000"/>
          <w:kern w:val="0"/>
          <w:sz w:val="28"/>
          <w:szCs w:val="28"/>
        </w:rPr>
        <w:t>主动公开方面</w:t>
      </w:r>
    </w:p>
    <w:p w:rsidR="00493C22" w:rsidRDefault="00BC4057">
      <w:pPr>
        <w:pStyle w:val="a8"/>
        <w:numPr>
          <w:ilvl w:val="0"/>
          <w:numId w:val="2"/>
        </w:numPr>
        <w:ind w:firstLineChars="0"/>
        <w:rPr>
          <w:rFonts w:ascii="仿宋" w:eastAsia="仿宋" w:hAnsi="仿宋" w:cs="仿宋"/>
          <w:bCs/>
          <w:color w:val="000000"/>
          <w:kern w:val="0"/>
          <w:sz w:val="28"/>
          <w:szCs w:val="28"/>
        </w:rPr>
      </w:pPr>
      <w:r>
        <w:rPr>
          <w:rFonts w:ascii="仿宋" w:eastAsia="仿宋" w:hAnsi="仿宋" w:cs="仿宋" w:hint="eastAsia"/>
          <w:bCs/>
          <w:color w:val="000000"/>
          <w:kern w:val="0"/>
          <w:sz w:val="28"/>
          <w:szCs w:val="28"/>
        </w:rPr>
        <w:t>政府基本信息公开</w:t>
      </w:r>
    </w:p>
    <w:p w:rsidR="00493C22" w:rsidRDefault="00BC4057">
      <w:pPr>
        <w:pStyle w:val="a8"/>
        <w:numPr>
          <w:ilvl w:val="0"/>
          <w:numId w:val="3"/>
        </w:numPr>
        <w:ind w:firstLineChars="0"/>
        <w:rPr>
          <w:rFonts w:ascii="仿宋" w:eastAsia="仿宋" w:hAnsi="仿宋" w:cs="仿宋"/>
          <w:bCs/>
          <w:color w:val="000000"/>
          <w:kern w:val="0"/>
          <w:sz w:val="28"/>
          <w:szCs w:val="28"/>
        </w:rPr>
      </w:pPr>
      <w:r>
        <w:rPr>
          <w:rFonts w:ascii="仿宋" w:eastAsia="仿宋" w:hAnsi="仿宋" w:cs="仿宋" w:hint="eastAsia"/>
          <w:bCs/>
          <w:color w:val="000000"/>
          <w:kern w:val="0"/>
          <w:sz w:val="28"/>
          <w:szCs w:val="28"/>
        </w:rPr>
        <w:t>政府年报公布情况、政府信息公开指南与目录、重点领域信息公开方面的相关信息公开情况，各市县均符合要求。</w:t>
      </w:r>
    </w:p>
    <w:p w:rsidR="00493C22" w:rsidRDefault="00BC4057">
      <w:pPr>
        <w:pStyle w:val="a8"/>
        <w:numPr>
          <w:ilvl w:val="0"/>
          <w:numId w:val="3"/>
        </w:numPr>
        <w:ind w:firstLineChars="0"/>
        <w:rPr>
          <w:rFonts w:ascii="仿宋" w:eastAsia="仿宋" w:hAnsi="仿宋" w:cs="仿宋"/>
          <w:bCs/>
          <w:color w:val="000000"/>
          <w:kern w:val="0"/>
          <w:sz w:val="28"/>
          <w:szCs w:val="28"/>
        </w:rPr>
      </w:pPr>
      <w:r>
        <w:rPr>
          <w:rFonts w:ascii="仿宋" w:eastAsia="仿宋" w:hAnsi="仿宋" w:cs="仿宋" w:hint="eastAsia"/>
          <w:bCs/>
          <w:color w:val="000000"/>
          <w:kern w:val="0"/>
          <w:sz w:val="28"/>
          <w:szCs w:val="28"/>
        </w:rPr>
        <w:t>必须公开的政府基本信息方面，95.45%的评估对象符合要求，但保亭县存在要素缺失。</w:t>
      </w:r>
    </w:p>
    <w:p w:rsidR="00493C22" w:rsidRDefault="00BC4057">
      <w:pPr>
        <w:pStyle w:val="a8"/>
        <w:numPr>
          <w:ilvl w:val="0"/>
          <w:numId w:val="3"/>
        </w:numPr>
        <w:ind w:firstLineChars="0"/>
        <w:rPr>
          <w:rFonts w:ascii="仿宋" w:eastAsia="仿宋" w:hAnsi="仿宋" w:cs="仿宋"/>
          <w:bCs/>
          <w:color w:val="000000"/>
          <w:kern w:val="0"/>
          <w:sz w:val="28"/>
          <w:szCs w:val="28"/>
        </w:rPr>
      </w:pPr>
      <w:r>
        <w:rPr>
          <w:rFonts w:ascii="仿宋" w:eastAsia="仿宋" w:hAnsi="仿宋" w:cs="仿宋" w:hint="eastAsia"/>
          <w:bCs/>
          <w:color w:val="000000"/>
          <w:kern w:val="0"/>
          <w:sz w:val="28"/>
          <w:szCs w:val="28"/>
        </w:rPr>
        <w:t>公开行政事业性收费的项目、依据、标准公开方面，95.45%的评估对象符合要求，但白沙县存在要素缺失。</w:t>
      </w:r>
    </w:p>
    <w:p w:rsidR="00493C22" w:rsidRDefault="00BC4057">
      <w:pPr>
        <w:pStyle w:val="a8"/>
        <w:numPr>
          <w:ilvl w:val="0"/>
          <w:numId w:val="3"/>
        </w:numPr>
        <w:ind w:firstLineChars="0"/>
        <w:rPr>
          <w:rFonts w:ascii="仿宋" w:eastAsia="仿宋" w:hAnsi="仿宋" w:cs="仿宋"/>
          <w:bCs/>
          <w:color w:val="000000"/>
          <w:kern w:val="0"/>
          <w:sz w:val="28"/>
          <w:szCs w:val="28"/>
        </w:rPr>
      </w:pPr>
      <w:r>
        <w:rPr>
          <w:rFonts w:ascii="仿宋" w:eastAsia="仿宋" w:hAnsi="仿宋" w:cs="仿宋" w:hint="eastAsia"/>
          <w:bCs/>
          <w:color w:val="000000"/>
          <w:kern w:val="0"/>
          <w:sz w:val="28"/>
          <w:szCs w:val="28"/>
        </w:rPr>
        <w:t>社会公益事业建设公开方面，68.18%的评估对象符合要求，白沙县、保亭县、昌江县、乐东县、临高县、海口市龙华区、海口市秀英区7个地区存在要素缺失。</w:t>
      </w:r>
    </w:p>
    <w:p w:rsidR="00493C22" w:rsidRDefault="00BC4057">
      <w:pPr>
        <w:pStyle w:val="a8"/>
        <w:numPr>
          <w:ilvl w:val="0"/>
          <w:numId w:val="2"/>
        </w:numPr>
        <w:ind w:firstLineChars="0"/>
        <w:rPr>
          <w:rFonts w:ascii="仿宋" w:eastAsia="仿宋" w:hAnsi="仿宋" w:cs="仿宋"/>
          <w:bCs/>
          <w:color w:val="000000"/>
          <w:kern w:val="0"/>
          <w:sz w:val="28"/>
          <w:szCs w:val="28"/>
        </w:rPr>
      </w:pPr>
      <w:r>
        <w:rPr>
          <w:rFonts w:ascii="仿宋" w:eastAsia="仿宋" w:hAnsi="仿宋" w:cs="仿宋" w:hint="eastAsia"/>
          <w:bCs/>
          <w:color w:val="000000"/>
          <w:kern w:val="0"/>
          <w:sz w:val="28"/>
          <w:szCs w:val="28"/>
        </w:rPr>
        <w:t>政府和社会资本合作（PPP）项目信息公开</w:t>
      </w:r>
    </w:p>
    <w:p w:rsidR="00493C22" w:rsidRDefault="00BC4057">
      <w:pPr>
        <w:pStyle w:val="a8"/>
        <w:numPr>
          <w:ilvl w:val="0"/>
          <w:numId w:val="4"/>
        </w:numPr>
        <w:ind w:firstLineChars="0"/>
        <w:rPr>
          <w:rFonts w:ascii="仿宋" w:eastAsia="仿宋" w:hAnsi="仿宋" w:cs="仿宋"/>
          <w:bCs/>
          <w:color w:val="000000"/>
          <w:kern w:val="0"/>
          <w:sz w:val="28"/>
          <w:szCs w:val="28"/>
        </w:rPr>
      </w:pPr>
      <w:r>
        <w:rPr>
          <w:rFonts w:ascii="仿宋" w:eastAsia="仿宋" w:hAnsi="仿宋" w:cs="仿宋" w:hint="eastAsia"/>
          <w:bCs/>
          <w:color w:val="000000"/>
          <w:kern w:val="0"/>
          <w:sz w:val="28"/>
          <w:szCs w:val="28"/>
        </w:rPr>
        <w:t>PPP相关法律法规、政策文件、专家库等信息公开方面，只有50%的评估对象公开了相关信息，白沙县、澄迈县、东方市、乐东县、临高县、海口市龙华区、海口市美兰区、琼海市、琼山县、屯昌县、万宁市11个市县都在不同程度缺</w:t>
      </w:r>
      <w:r>
        <w:rPr>
          <w:rFonts w:ascii="仿宋" w:eastAsia="仿宋" w:hAnsi="仿宋" w:cs="仿宋" w:hint="eastAsia"/>
          <w:bCs/>
          <w:color w:val="000000"/>
          <w:kern w:val="0"/>
          <w:sz w:val="28"/>
          <w:szCs w:val="28"/>
        </w:rPr>
        <w:lastRenderedPageBreak/>
        <w:t>失了相关信息。</w:t>
      </w:r>
    </w:p>
    <w:p w:rsidR="00493C22" w:rsidRDefault="00BC4057">
      <w:pPr>
        <w:pStyle w:val="a8"/>
        <w:numPr>
          <w:ilvl w:val="0"/>
          <w:numId w:val="4"/>
        </w:numPr>
        <w:ind w:firstLineChars="0"/>
        <w:rPr>
          <w:rFonts w:ascii="仿宋" w:eastAsia="仿宋" w:hAnsi="仿宋" w:cs="仿宋"/>
          <w:bCs/>
          <w:color w:val="000000"/>
          <w:kern w:val="0"/>
          <w:sz w:val="28"/>
          <w:szCs w:val="28"/>
        </w:rPr>
      </w:pPr>
      <w:r>
        <w:rPr>
          <w:rFonts w:ascii="仿宋" w:eastAsia="仿宋" w:hAnsi="仿宋" w:cs="仿宋" w:hint="eastAsia"/>
          <w:bCs/>
          <w:color w:val="000000"/>
          <w:kern w:val="0"/>
          <w:sz w:val="28"/>
          <w:szCs w:val="28"/>
        </w:rPr>
        <w:t>社会资本参与方式、项目合同和回报机制信息公开方面，72.72%的评估对象符合要求，保亭县、昌江县、澄迈县、海口市、海口市琼山区、五指山市6个市县对于社会资本参与方式、项目合同和回报机制的信息公开不完全。</w:t>
      </w:r>
    </w:p>
    <w:p w:rsidR="00493C22" w:rsidRDefault="00BC4057">
      <w:pPr>
        <w:pStyle w:val="a8"/>
        <w:numPr>
          <w:ilvl w:val="0"/>
          <w:numId w:val="2"/>
        </w:numPr>
        <w:ind w:firstLineChars="0"/>
        <w:rPr>
          <w:rFonts w:ascii="仿宋" w:eastAsia="仿宋" w:hAnsi="仿宋" w:cs="仿宋"/>
          <w:bCs/>
          <w:color w:val="000000"/>
          <w:kern w:val="0"/>
          <w:sz w:val="28"/>
          <w:szCs w:val="28"/>
        </w:rPr>
      </w:pPr>
      <w:r>
        <w:rPr>
          <w:rFonts w:ascii="仿宋" w:eastAsia="仿宋" w:hAnsi="仿宋" w:cs="仿宋" w:hint="eastAsia"/>
          <w:bCs/>
          <w:color w:val="000000"/>
          <w:kern w:val="0"/>
          <w:sz w:val="28"/>
          <w:szCs w:val="28"/>
        </w:rPr>
        <w:t>“放管服”改革信息公开</w:t>
      </w:r>
    </w:p>
    <w:p w:rsidR="00493C22" w:rsidRDefault="00BC4057">
      <w:pPr>
        <w:ind w:left="420" w:firstLine="300"/>
        <w:rPr>
          <w:rFonts w:ascii="仿宋" w:eastAsia="仿宋" w:hAnsi="仿宋" w:cs="仿宋"/>
          <w:bCs/>
          <w:color w:val="000000"/>
          <w:kern w:val="0"/>
          <w:sz w:val="28"/>
          <w:szCs w:val="28"/>
        </w:rPr>
      </w:pPr>
      <w:r>
        <w:rPr>
          <w:rFonts w:ascii="仿宋" w:eastAsia="仿宋" w:hAnsi="仿宋" w:cs="仿宋" w:hint="eastAsia"/>
          <w:bCs/>
          <w:color w:val="000000"/>
          <w:kern w:val="0"/>
          <w:sz w:val="28"/>
          <w:szCs w:val="28"/>
        </w:rPr>
        <w:t>及时公布本级随机抽查事项清单和公开企业注册登记、项目投资等与群众生活密切相关信息方面，各评估对象都符合要求。</w:t>
      </w:r>
    </w:p>
    <w:p w:rsidR="00493C22" w:rsidRDefault="00BC4057">
      <w:pPr>
        <w:pStyle w:val="a8"/>
        <w:numPr>
          <w:ilvl w:val="0"/>
          <w:numId w:val="2"/>
        </w:numPr>
        <w:ind w:firstLineChars="0"/>
        <w:rPr>
          <w:rFonts w:ascii="仿宋" w:eastAsia="仿宋" w:hAnsi="仿宋" w:cs="仿宋"/>
          <w:bCs/>
          <w:color w:val="000000"/>
          <w:kern w:val="0"/>
          <w:sz w:val="28"/>
          <w:szCs w:val="28"/>
        </w:rPr>
      </w:pPr>
      <w:r>
        <w:rPr>
          <w:rFonts w:ascii="仿宋" w:eastAsia="仿宋" w:hAnsi="仿宋" w:cs="仿宋" w:hint="eastAsia"/>
          <w:bCs/>
          <w:color w:val="000000"/>
          <w:kern w:val="0"/>
          <w:sz w:val="28"/>
          <w:szCs w:val="28"/>
        </w:rPr>
        <w:t>财税体制改革信息公开</w:t>
      </w:r>
    </w:p>
    <w:p w:rsidR="00493C22" w:rsidRDefault="00BC4057">
      <w:pPr>
        <w:pStyle w:val="a8"/>
        <w:numPr>
          <w:ilvl w:val="0"/>
          <w:numId w:val="5"/>
        </w:numPr>
        <w:ind w:firstLineChars="0"/>
        <w:rPr>
          <w:rFonts w:ascii="仿宋" w:eastAsia="仿宋" w:hAnsi="仿宋" w:cs="仿宋"/>
          <w:bCs/>
          <w:color w:val="000000"/>
          <w:kern w:val="0"/>
          <w:sz w:val="28"/>
          <w:szCs w:val="28"/>
        </w:rPr>
      </w:pPr>
      <w:r>
        <w:rPr>
          <w:rFonts w:ascii="仿宋" w:eastAsia="仿宋" w:hAnsi="仿宋" w:cs="仿宋" w:hint="eastAsia"/>
          <w:bCs/>
          <w:color w:val="000000"/>
          <w:kern w:val="0"/>
          <w:sz w:val="28"/>
          <w:szCs w:val="28"/>
        </w:rPr>
        <w:t>公开本地区政府债务情况方面，77.27%的评估对象符合要求，东方市、海口市、乐东县、海口市琼山区、琼中县5个市县对于公开本地区政府债务情况落实不到位。</w:t>
      </w:r>
    </w:p>
    <w:p w:rsidR="00493C22" w:rsidRDefault="00BC4057">
      <w:pPr>
        <w:pStyle w:val="a8"/>
        <w:numPr>
          <w:ilvl w:val="0"/>
          <w:numId w:val="5"/>
        </w:numPr>
        <w:ind w:firstLineChars="0"/>
        <w:rPr>
          <w:rFonts w:ascii="仿宋" w:eastAsia="仿宋" w:hAnsi="仿宋" w:cs="仿宋"/>
          <w:bCs/>
          <w:color w:val="000000"/>
          <w:kern w:val="0"/>
          <w:sz w:val="28"/>
          <w:szCs w:val="28"/>
        </w:rPr>
      </w:pPr>
      <w:r>
        <w:rPr>
          <w:rFonts w:ascii="仿宋" w:eastAsia="仿宋" w:hAnsi="仿宋" w:cs="仿宋" w:hint="eastAsia"/>
          <w:bCs/>
          <w:color w:val="000000"/>
          <w:kern w:val="0"/>
          <w:sz w:val="28"/>
          <w:szCs w:val="28"/>
        </w:rPr>
        <w:t>公开政府预决算、部门决算，并对公开内容进行分类分级方面，各评估对象都符合要求。</w:t>
      </w:r>
    </w:p>
    <w:p w:rsidR="00493C22" w:rsidRDefault="00BC4057">
      <w:pPr>
        <w:pStyle w:val="a8"/>
        <w:numPr>
          <w:ilvl w:val="0"/>
          <w:numId w:val="2"/>
        </w:numPr>
        <w:ind w:firstLineChars="0"/>
        <w:rPr>
          <w:rFonts w:ascii="仿宋" w:eastAsia="仿宋" w:hAnsi="仿宋" w:cs="仿宋"/>
          <w:bCs/>
          <w:color w:val="000000"/>
          <w:kern w:val="0"/>
          <w:sz w:val="28"/>
          <w:szCs w:val="28"/>
        </w:rPr>
      </w:pPr>
      <w:r>
        <w:rPr>
          <w:rFonts w:ascii="仿宋" w:eastAsia="仿宋" w:hAnsi="仿宋" w:cs="仿宋" w:hint="eastAsia"/>
          <w:bCs/>
          <w:color w:val="000000"/>
          <w:kern w:val="0"/>
          <w:sz w:val="28"/>
          <w:szCs w:val="28"/>
        </w:rPr>
        <w:t>扶贫脱贫信息</w:t>
      </w:r>
    </w:p>
    <w:p w:rsidR="00493C22" w:rsidRDefault="00BC4057">
      <w:pPr>
        <w:ind w:left="420" w:firstLine="300"/>
        <w:rPr>
          <w:rFonts w:ascii="仿宋" w:eastAsia="仿宋" w:hAnsi="仿宋" w:cs="仿宋"/>
          <w:bCs/>
          <w:color w:val="000000"/>
          <w:kern w:val="0"/>
          <w:sz w:val="28"/>
          <w:szCs w:val="28"/>
        </w:rPr>
      </w:pPr>
      <w:r>
        <w:rPr>
          <w:rFonts w:ascii="仿宋" w:eastAsia="仿宋" w:hAnsi="仿宋" w:cs="仿宋" w:hint="eastAsia"/>
          <w:bCs/>
          <w:color w:val="000000"/>
          <w:kern w:val="0"/>
          <w:sz w:val="28"/>
          <w:szCs w:val="28"/>
        </w:rPr>
        <w:t>公开扶贫政策、对象、措施和贫困县公开涉农资金来源、用途等方面，各评估对象都符合要求。</w:t>
      </w:r>
    </w:p>
    <w:p w:rsidR="00493C22" w:rsidRDefault="00BC4057">
      <w:pPr>
        <w:pStyle w:val="a8"/>
        <w:numPr>
          <w:ilvl w:val="0"/>
          <w:numId w:val="2"/>
        </w:numPr>
        <w:ind w:firstLineChars="0"/>
        <w:rPr>
          <w:rFonts w:ascii="仿宋" w:eastAsia="仿宋" w:hAnsi="仿宋" w:cs="仿宋"/>
          <w:bCs/>
          <w:color w:val="000000"/>
          <w:kern w:val="0"/>
          <w:sz w:val="28"/>
          <w:szCs w:val="28"/>
        </w:rPr>
      </w:pPr>
      <w:r>
        <w:rPr>
          <w:rFonts w:ascii="仿宋" w:eastAsia="仿宋" w:hAnsi="仿宋" w:cs="仿宋" w:hint="eastAsia"/>
          <w:bCs/>
          <w:color w:val="000000"/>
          <w:kern w:val="0"/>
          <w:sz w:val="28"/>
          <w:szCs w:val="28"/>
        </w:rPr>
        <w:t>卫生领域信息公开</w:t>
      </w:r>
    </w:p>
    <w:p w:rsidR="00493C22" w:rsidRDefault="00BC4057">
      <w:pPr>
        <w:pStyle w:val="a8"/>
        <w:numPr>
          <w:ilvl w:val="0"/>
          <w:numId w:val="6"/>
        </w:numPr>
        <w:ind w:firstLineChars="0"/>
        <w:rPr>
          <w:rFonts w:ascii="仿宋" w:eastAsia="仿宋" w:hAnsi="仿宋" w:cs="仿宋"/>
          <w:bCs/>
          <w:color w:val="000000"/>
          <w:kern w:val="0"/>
          <w:sz w:val="28"/>
          <w:szCs w:val="28"/>
        </w:rPr>
      </w:pPr>
      <w:r>
        <w:rPr>
          <w:rFonts w:ascii="仿宋" w:eastAsia="仿宋" w:hAnsi="仿宋" w:cs="仿宋" w:hint="eastAsia"/>
          <w:bCs/>
          <w:color w:val="000000"/>
          <w:kern w:val="0"/>
          <w:sz w:val="28"/>
          <w:szCs w:val="28"/>
        </w:rPr>
        <w:t>医疗机构院务公开和改善医疗服务行动计划落实情况公开方面，72.27%的评估对象符合要求，保亭县、乐东县、海口市龙华区、琼中县、海口市、万宁市5个市县在这一方面存在不足。</w:t>
      </w:r>
    </w:p>
    <w:p w:rsidR="00493C22" w:rsidRDefault="00BC4057">
      <w:pPr>
        <w:pStyle w:val="a8"/>
        <w:numPr>
          <w:ilvl w:val="0"/>
          <w:numId w:val="6"/>
        </w:numPr>
        <w:ind w:firstLineChars="0"/>
        <w:rPr>
          <w:rFonts w:ascii="仿宋" w:eastAsia="仿宋" w:hAnsi="仿宋" w:cs="仿宋"/>
          <w:bCs/>
          <w:color w:val="000000"/>
          <w:kern w:val="0"/>
          <w:sz w:val="28"/>
          <w:szCs w:val="28"/>
        </w:rPr>
      </w:pPr>
      <w:r>
        <w:rPr>
          <w:rFonts w:ascii="仿宋" w:eastAsia="仿宋" w:hAnsi="仿宋" w:cs="仿宋" w:hint="eastAsia"/>
          <w:bCs/>
          <w:color w:val="000000"/>
          <w:kern w:val="0"/>
          <w:sz w:val="28"/>
          <w:szCs w:val="28"/>
        </w:rPr>
        <w:t>市县为单位指导辖区内医疗机构公开常规医疗服务价格、公开常用药品和主要医用耗材信息方面，仅有50%的评估对象符合要求，白沙县、保亭县、定安县、乐东县、海口市龙华区、海口市琼山区、琼中县、三亚市、屯昌县、万宁县、文昌市、五指山市11个市县存在未公开常规医疗服务价格、常用药品和主要医用耗材信息的情况。</w:t>
      </w:r>
    </w:p>
    <w:p w:rsidR="00493C22" w:rsidRDefault="00BC4057">
      <w:pPr>
        <w:pStyle w:val="a8"/>
        <w:numPr>
          <w:ilvl w:val="0"/>
          <w:numId w:val="6"/>
        </w:numPr>
        <w:ind w:firstLineChars="0"/>
        <w:rPr>
          <w:rFonts w:ascii="仿宋" w:eastAsia="仿宋" w:hAnsi="仿宋" w:cs="仿宋"/>
          <w:bCs/>
          <w:color w:val="000000"/>
          <w:kern w:val="0"/>
          <w:sz w:val="28"/>
          <w:szCs w:val="28"/>
        </w:rPr>
      </w:pPr>
      <w:r>
        <w:rPr>
          <w:rFonts w:ascii="仿宋" w:eastAsia="仿宋" w:hAnsi="仿宋" w:cs="仿宋" w:hint="eastAsia"/>
          <w:bCs/>
          <w:color w:val="000000"/>
          <w:kern w:val="0"/>
          <w:sz w:val="28"/>
          <w:szCs w:val="28"/>
        </w:rPr>
        <w:t>医德医风违规违纪问题处理结果公开方面，仅有36.4%的评估对象符合要求，三亚市、白沙县、保亭县等14个市县关于医德医风违规违纪问题处理结果的公开存在较大的信息空白。</w:t>
      </w:r>
    </w:p>
    <w:p w:rsidR="00493C22" w:rsidRDefault="00BC4057">
      <w:pPr>
        <w:pStyle w:val="a8"/>
        <w:numPr>
          <w:ilvl w:val="0"/>
          <w:numId w:val="2"/>
        </w:numPr>
        <w:ind w:firstLineChars="0"/>
        <w:rPr>
          <w:rFonts w:ascii="仿宋" w:eastAsia="仿宋" w:hAnsi="仿宋" w:cs="仿宋"/>
          <w:bCs/>
          <w:color w:val="000000"/>
          <w:kern w:val="0"/>
          <w:sz w:val="28"/>
          <w:szCs w:val="28"/>
        </w:rPr>
      </w:pPr>
      <w:r>
        <w:rPr>
          <w:rFonts w:ascii="仿宋" w:eastAsia="仿宋" w:hAnsi="仿宋" w:cs="仿宋" w:hint="eastAsia"/>
          <w:bCs/>
          <w:color w:val="000000"/>
          <w:kern w:val="0"/>
          <w:sz w:val="28"/>
          <w:szCs w:val="28"/>
        </w:rPr>
        <w:t>教育信息公开</w:t>
      </w:r>
    </w:p>
    <w:p w:rsidR="00493C22" w:rsidRDefault="00BC4057">
      <w:pPr>
        <w:pStyle w:val="a8"/>
        <w:numPr>
          <w:ilvl w:val="0"/>
          <w:numId w:val="7"/>
        </w:numPr>
        <w:ind w:firstLineChars="0"/>
        <w:rPr>
          <w:rFonts w:ascii="仿宋" w:eastAsia="仿宋" w:hAnsi="仿宋" w:cs="仿宋"/>
          <w:bCs/>
          <w:color w:val="000000"/>
          <w:kern w:val="0"/>
          <w:sz w:val="28"/>
          <w:szCs w:val="28"/>
        </w:rPr>
      </w:pPr>
      <w:r>
        <w:rPr>
          <w:rFonts w:ascii="仿宋" w:eastAsia="仿宋" w:hAnsi="仿宋" w:cs="仿宋" w:hint="eastAsia"/>
          <w:bCs/>
          <w:color w:val="000000"/>
          <w:kern w:val="0"/>
          <w:sz w:val="28"/>
          <w:szCs w:val="28"/>
        </w:rPr>
        <w:t>设置教育监管信息专栏方面，仅有陵水县、琼中县两个市县未设置教育监管信息专栏，90.9%的评估对象都设置了教育监管信息专栏。</w:t>
      </w:r>
    </w:p>
    <w:p w:rsidR="00493C22" w:rsidRDefault="00BC4057">
      <w:pPr>
        <w:pStyle w:val="a8"/>
        <w:numPr>
          <w:ilvl w:val="0"/>
          <w:numId w:val="7"/>
        </w:numPr>
        <w:ind w:firstLineChars="0"/>
        <w:rPr>
          <w:rFonts w:ascii="仿宋" w:eastAsia="仿宋" w:hAnsi="仿宋" w:cs="仿宋"/>
          <w:bCs/>
          <w:color w:val="000000"/>
          <w:kern w:val="0"/>
          <w:sz w:val="28"/>
          <w:szCs w:val="28"/>
        </w:rPr>
      </w:pPr>
      <w:r>
        <w:rPr>
          <w:rFonts w:ascii="仿宋" w:eastAsia="仿宋" w:hAnsi="仿宋" w:cs="仿宋" w:hint="eastAsia"/>
          <w:bCs/>
          <w:color w:val="000000"/>
          <w:kern w:val="0"/>
          <w:sz w:val="28"/>
          <w:szCs w:val="28"/>
        </w:rPr>
        <w:t>公开义务教育招生入学政策情况方面，77.27%的评估对象符合要求，未公开的市县有定安县、乐东县、陵水县、万宁市、 五指山市5个，占评估对象总数的22.73%。</w:t>
      </w:r>
    </w:p>
    <w:p w:rsidR="00493C22" w:rsidRDefault="00BC4057">
      <w:pPr>
        <w:pStyle w:val="a8"/>
        <w:numPr>
          <w:ilvl w:val="0"/>
          <w:numId w:val="7"/>
        </w:numPr>
        <w:ind w:firstLineChars="0"/>
        <w:rPr>
          <w:rFonts w:ascii="仿宋" w:eastAsia="仿宋" w:hAnsi="仿宋" w:cs="仿宋"/>
          <w:bCs/>
          <w:color w:val="000000"/>
          <w:kern w:val="0"/>
          <w:sz w:val="28"/>
          <w:szCs w:val="28"/>
        </w:rPr>
      </w:pPr>
      <w:r>
        <w:rPr>
          <w:rFonts w:ascii="仿宋" w:eastAsia="仿宋" w:hAnsi="仿宋" w:cs="仿宋" w:hint="eastAsia"/>
          <w:bCs/>
          <w:color w:val="000000"/>
          <w:kern w:val="0"/>
          <w:sz w:val="28"/>
          <w:szCs w:val="28"/>
        </w:rPr>
        <w:t>公开教育督导评估检测报告方面，77.27%的评估对象符合要求，未公开的市县有白沙县、保亭县、东方市、万宁市、五指山市5个，占评估对象总数的22.73%。</w:t>
      </w:r>
    </w:p>
    <w:p w:rsidR="00493C22" w:rsidRDefault="00BC4057">
      <w:pPr>
        <w:pStyle w:val="a8"/>
        <w:numPr>
          <w:ilvl w:val="0"/>
          <w:numId w:val="2"/>
        </w:numPr>
        <w:ind w:firstLineChars="0"/>
        <w:rPr>
          <w:rFonts w:ascii="仿宋" w:eastAsia="仿宋" w:hAnsi="仿宋" w:cs="仿宋"/>
          <w:bCs/>
          <w:color w:val="000000"/>
          <w:kern w:val="0"/>
          <w:sz w:val="28"/>
          <w:szCs w:val="28"/>
        </w:rPr>
      </w:pPr>
      <w:r>
        <w:rPr>
          <w:rFonts w:ascii="仿宋" w:eastAsia="仿宋" w:hAnsi="仿宋" w:cs="仿宋" w:hint="eastAsia"/>
          <w:bCs/>
          <w:color w:val="000000"/>
          <w:kern w:val="0"/>
          <w:sz w:val="28"/>
          <w:szCs w:val="28"/>
        </w:rPr>
        <w:t>审计信息公开</w:t>
      </w:r>
    </w:p>
    <w:p w:rsidR="00493C22" w:rsidRDefault="00BC4057">
      <w:pPr>
        <w:ind w:left="420" w:firstLine="300"/>
        <w:rPr>
          <w:rFonts w:ascii="仿宋" w:eastAsia="仿宋" w:hAnsi="仿宋" w:cs="仿宋"/>
          <w:bCs/>
          <w:color w:val="000000"/>
          <w:kern w:val="0"/>
          <w:sz w:val="28"/>
          <w:szCs w:val="28"/>
        </w:rPr>
      </w:pPr>
      <w:r>
        <w:rPr>
          <w:rFonts w:ascii="仿宋" w:eastAsia="仿宋" w:hAnsi="仿宋" w:cs="仿宋" w:hint="eastAsia"/>
          <w:bCs/>
          <w:color w:val="000000"/>
          <w:kern w:val="0"/>
          <w:sz w:val="28"/>
          <w:szCs w:val="28"/>
        </w:rPr>
        <w:t>公开审计结果报告方面，各评估对象都符合要求。</w:t>
      </w:r>
    </w:p>
    <w:p w:rsidR="00493C22" w:rsidRDefault="00BC4057">
      <w:pPr>
        <w:pStyle w:val="a8"/>
        <w:numPr>
          <w:ilvl w:val="0"/>
          <w:numId w:val="2"/>
        </w:numPr>
        <w:ind w:firstLineChars="0"/>
        <w:rPr>
          <w:rFonts w:ascii="仿宋" w:eastAsia="仿宋" w:hAnsi="仿宋" w:cs="仿宋"/>
          <w:bCs/>
          <w:color w:val="000000"/>
          <w:kern w:val="0"/>
          <w:sz w:val="28"/>
          <w:szCs w:val="28"/>
        </w:rPr>
      </w:pPr>
      <w:r>
        <w:rPr>
          <w:rFonts w:ascii="仿宋" w:eastAsia="仿宋" w:hAnsi="仿宋" w:cs="仿宋" w:hint="eastAsia"/>
          <w:bCs/>
          <w:color w:val="000000"/>
          <w:kern w:val="0"/>
          <w:sz w:val="28"/>
          <w:szCs w:val="28"/>
        </w:rPr>
        <w:t>减税、降费、降低要素成本信息公开</w:t>
      </w:r>
    </w:p>
    <w:p w:rsidR="00493C22" w:rsidRDefault="00BC4057">
      <w:pPr>
        <w:ind w:left="420" w:firstLine="300"/>
        <w:rPr>
          <w:rFonts w:ascii="仿宋" w:eastAsia="仿宋" w:hAnsi="仿宋" w:cs="仿宋"/>
          <w:bCs/>
          <w:color w:val="000000"/>
          <w:kern w:val="0"/>
          <w:sz w:val="28"/>
          <w:szCs w:val="28"/>
        </w:rPr>
      </w:pPr>
      <w:r>
        <w:rPr>
          <w:rFonts w:ascii="仿宋" w:eastAsia="仿宋" w:hAnsi="仿宋" w:cs="仿宋" w:hint="eastAsia"/>
          <w:bCs/>
          <w:color w:val="000000"/>
          <w:kern w:val="0"/>
          <w:sz w:val="28"/>
          <w:szCs w:val="28"/>
        </w:rPr>
        <w:t>集中发布利用新媒体主动推送减税措施、集中展示、更新行政事业性收费和政府性基金目录清单、公布阶段性降低保险费率方面、公布参加社会保险情况和社保基金运行情况，各评估对象都符合要求。</w:t>
      </w:r>
    </w:p>
    <w:p w:rsidR="00493C22" w:rsidRDefault="00BC4057">
      <w:pPr>
        <w:pStyle w:val="a8"/>
        <w:numPr>
          <w:ilvl w:val="0"/>
          <w:numId w:val="2"/>
        </w:numPr>
        <w:ind w:firstLineChars="0"/>
        <w:rPr>
          <w:rFonts w:ascii="仿宋" w:eastAsia="仿宋" w:hAnsi="仿宋" w:cs="仿宋"/>
          <w:bCs/>
          <w:color w:val="000000"/>
          <w:kern w:val="0"/>
          <w:sz w:val="28"/>
          <w:szCs w:val="28"/>
        </w:rPr>
      </w:pPr>
      <w:r>
        <w:rPr>
          <w:rFonts w:ascii="仿宋" w:eastAsia="仿宋" w:hAnsi="仿宋" w:cs="仿宋" w:hint="eastAsia"/>
          <w:bCs/>
          <w:color w:val="000000"/>
          <w:kern w:val="0"/>
          <w:sz w:val="28"/>
          <w:szCs w:val="28"/>
        </w:rPr>
        <w:t>重点建设项目和公共资源配置信息公开</w:t>
      </w:r>
    </w:p>
    <w:p w:rsidR="00493C22" w:rsidRDefault="00BC4057">
      <w:pPr>
        <w:ind w:left="420" w:firstLine="300"/>
        <w:rPr>
          <w:rFonts w:ascii="仿宋" w:eastAsia="仿宋" w:hAnsi="仿宋" w:cs="仿宋"/>
          <w:bCs/>
          <w:color w:val="000000"/>
          <w:kern w:val="0"/>
          <w:sz w:val="28"/>
          <w:szCs w:val="28"/>
        </w:rPr>
      </w:pPr>
      <w:r>
        <w:rPr>
          <w:rFonts w:ascii="仿宋" w:eastAsia="仿宋" w:hAnsi="仿宋" w:cs="仿宋" w:hint="eastAsia"/>
          <w:bCs/>
          <w:color w:val="000000"/>
          <w:kern w:val="0"/>
          <w:sz w:val="28"/>
          <w:szCs w:val="28"/>
        </w:rPr>
        <w:t>公开十二个重点产业、“五</w:t>
      </w:r>
      <w:r>
        <w:rPr>
          <w:rFonts w:ascii="仿宋" w:eastAsia="仿宋" w:hAnsi="仿宋" w:cs="仿宋"/>
          <w:bCs/>
          <w:color w:val="000000"/>
          <w:kern w:val="0"/>
          <w:sz w:val="28"/>
          <w:szCs w:val="28"/>
        </w:rPr>
        <w:t>网</w:t>
      </w:r>
      <w:r>
        <w:rPr>
          <w:rFonts w:ascii="仿宋" w:eastAsia="仿宋" w:hAnsi="仿宋" w:cs="仿宋" w:hint="eastAsia"/>
          <w:bCs/>
          <w:color w:val="000000"/>
          <w:kern w:val="0"/>
          <w:sz w:val="28"/>
          <w:szCs w:val="28"/>
        </w:rPr>
        <w:t>”基础</w:t>
      </w:r>
      <w:r>
        <w:rPr>
          <w:rFonts w:ascii="仿宋" w:eastAsia="仿宋" w:hAnsi="仿宋" w:cs="仿宋"/>
          <w:bCs/>
          <w:color w:val="000000"/>
          <w:kern w:val="0"/>
          <w:sz w:val="28"/>
          <w:szCs w:val="28"/>
        </w:rPr>
        <w:t>设施</w:t>
      </w:r>
      <w:r>
        <w:rPr>
          <w:rFonts w:ascii="仿宋" w:eastAsia="仿宋" w:hAnsi="仿宋" w:cs="仿宋" w:hint="eastAsia"/>
          <w:bCs/>
          <w:color w:val="000000"/>
          <w:kern w:val="0"/>
          <w:sz w:val="28"/>
          <w:szCs w:val="28"/>
        </w:rPr>
        <w:t>、特色</w:t>
      </w:r>
      <w:r>
        <w:rPr>
          <w:rFonts w:ascii="仿宋" w:eastAsia="仿宋" w:hAnsi="仿宋" w:cs="仿宋"/>
          <w:bCs/>
          <w:color w:val="000000"/>
          <w:kern w:val="0"/>
          <w:sz w:val="28"/>
          <w:szCs w:val="28"/>
        </w:rPr>
        <w:t>小镇</w:t>
      </w:r>
      <w:r>
        <w:rPr>
          <w:rFonts w:ascii="仿宋" w:eastAsia="仿宋" w:hAnsi="仿宋" w:cs="仿宋" w:hint="eastAsia"/>
          <w:bCs/>
          <w:color w:val="000000"/>
          <w:kern w:val="0"/>
          <w:sz w:val="28"/>
          <w:szCs w:val="28"/>
        </w:rPr>
        <w:t>、社会</w:t>
      </w:r>
      <w:r>
        <w:rPr>
          <w:rFonts w:ascii="仿宋" w:eastAsia="仿宋" w:hAnsi="仿宋" w:cs="仿宋"/>
          <w:bCs/>
          <w:color w:val="000000"/>
          <w:kern w:val="0"/>
          <w:sz w:val="28"/>
          <w:szCs w:val="28"/>
        </w:rPr>
        <w:t>民生工程</w:t>
      </w:r>
      <w:r>
        <w:rPr>
          <w:rFonts w:ascii="仿宋" w:eastAsia="仿宋" w:hAnsi="仿宋" w:cs="仿宋" w:hint="eastAsia"/>
          <w:bCs/>
          <w:color w:val="000000"/>
          <w:kern w:val="0"/>
          <w:sz w:val="28"/>
          <w:szCs w:val="28"/>
        </w:rPr>
        <w:t>等</w:t>
      </w:r>
      <w:r>
        <w:rPr>
          <w:rFonts w:ascii="仿宋" w:eastAsia="仿宋" w:hAnsi="仿宋" w:cs="仿宋"/>
          <w:bCs/>
          <w:color w:val="000000"/>
          <w:kern w:val="0"/>
          <w:sz w:val="28"/>
          <w:szCs w:val="28"/>
        </w:rPr>
        <w:t>重点项目建设投资完成</w:t>
      </w:r>
      <w:r>
        <w:rPr>
          <w:rFonts w:ascii="仿宋" w:eastAsia="仿宋" w:hAnsi="仿宋" w:cs="仿宋" w:hint="eastAsia"/>
          <w:bCs/>
          <w:color w:val="000000"/>
          <w:kern w:val="0"/>
          <w:sz w:val="28"/>
          <w:szCs w:val="28"/>
        </w:rPr>
        <w:t>、工程</w:t>
      </w:r>
      <w:r>
        <w:rPr>
          <w:rFonts w:ascii="仿宋" w:eastAsia="仿宋" w:hAnsi="仿宋" w:cs="仿宋"/>
          <w:bCs/>
          <w:color w:val="000000"/>
          <w:kern w:val="0"/>
          <w:sz w:val="28"/>
          <w:szCs w:val="28"/>
        </w:rPr>
        <w:t>进展情况</w:t>
      </w:r>
      <w:r>
        <w:rPr>
          <w:rFonts w:ascii="仿宋" w:eastAsia="仿宋" w:hAnsi="仿宋" w:cs="仿宋" w:hint="eastAsia"/>
          <w:bCs/>
          <w:color w:val="000000"/>
          <w:kern w:val="0"/>
          <w:sz w:val="28"/>
          <w:szCs w:val="28"/>
        </w:rPr>
        <w:t>等信息方面，各评估对象都符合要求。</w:t>
      </w:r>
    </w:p>
    <w:p w:rsidR="00493C22" w:rsidRDefault="00BC4057">
      <w:pPr>
        <w:pStyle w:val="a8"/>
        <w:numPr>
          <w:ilvl w:val="0"/>
          <w:numId w:val="2"/>
        </w:numPr>
        <w:ind w:firstLineChars="0"/>
        <w:rPr>
          <w:rFonts w:ascii="仿宋" w:eastAsia="仿宋" w:hAnsi="仿宋" w:cs="仿宋"/>
          <w:bCs/>
          <w:color w:val="000000"/>
          <w:kern w:val="0"/>
          <w:sz w:val="28"/>
          <w:szCs w:val="28"/>
        </w:rPr>
      </w:pPr>
      <w:r>
        <w:rPr>
          <w:rFonts w:ascii="仿宋" w:eastAsia="仿宋" w:hAnsi="仿宋" w:cs="仿宋" w:hint="eastAsia"/>
          <w:bCs/>
          <w:color w:val="000000"/>
          <w:kern w:val="0"/>
          <w:sz w:val="28"/>
          <w:szCs w:val="28"/>
        </w:rPr>
        <w:t>权责清单公开</w:t>
      </w:r>
    </w:p>
    <w:p w:rsidR="00493C22" w:rsidRDefault="00BC4057">
      <w:pPr>
        <w:ind w:left="420" w:firstLine="300"/>
        <w:rPr>
          <w:rFonts w:ascii="仿宋" w:eastAsia="仿宋" w:hAnsi="仿宋" w:cs="仿宋"/>
          <w:bCs/>
          <w:color w:val="000000"/>
          <w:kern w:val="0"/>
          <w:sz w:val="28"/>
          <w:szCs w:val="28"/>
        </w:rPr>
      </w:pPr>
      <w:r>
        <w:rPr>
          <w:rFonts w:ascii="仿宋" w:eastAsia="仿宋" w:hAnsi="仿宋" w:cs="仿宋" w:hint="eastAsia"/>
          <w:bCs/>
          <w:color w:val="000000"/>
          <w:kern w:val="0"/>
          <w:sz w:val="28"/>
          <w:szCs w:val="28"/>
        </w:rPr>
        <w:t>权责清单公开方面，各评估对象都符合要求。</w:t>
      </w:r>
    </w:p>
    <w:p w:rsidR="00493C22" w:rsidRDefault="00BC4057">
      <w:pPr>
        <w:pStyle w:val="a8"/>
        <w:numPr>
          <w:ilvl w:val="0"/>
          <w:numId w:val="2"/>
        </w:numPr>
        <w:ind w:firstLineChars="0"/>
        <w:rPr>
          <w:rFonts w:ascii="仿宋" w:eastAsia="仿宋" w:hAnsi="仿宋" w:cs="仿宋"/>
          <w:bCs/>
          <w:color w:val="000000"/>
          <w:kern w:val="0"/>
          <w:sz w:val="28"/>
          <w:szCs w:val="28"/>
        </w:rPr>
      </w:pPr>
      <w:r>
        <w:rPr>
          <w:rFonts w:ascii="仿宋" w:eastAsia="仿宋" w:hAnsi="仿宋" w:cs="仿宋" w:hint="eastAsia"/>
          <w:bCs/>
          <w:color w:val="000000"/>
          <w:kern w:val="0"/>
          <w:sz w:val="28"/>
          <w:szCs w:val="28"/>
        </w:rPr>
        <w:t>国资国企信息公开</w:t>
      </w:r>
    </w:p>
    <w:p w:rsidR="00493C22" w:rsidRDefault="00BC4057">
      <w:pPr>
        <w:ind w:left="420" w:firstLine="300"/>
        <w:rPr>
          <w:rFonts w:ascii="仿宋" w:eastAsia="仿宋" w:hAnsi="仿宋" w:cs="仿宋"/>
          <w:bCs/>
          <w:color w:val="000000"/>
          <w:kern w:val="0"/>
          <w:sz w:val="28"/>
          <w:szCs w:val="28"/>
        </w:rPr>
      </w:pPr>
      <w:r>
        <w:rPr>
          <w:rFonts w:ascii="仿宋" w:eastAsia="仿宋" w:hAnsi="仿宋" w:cs="仿宋" w:hint="eastAsia"/>
          <w:bCs/>
          <w:color w:val="000000"/>
          <w:kern w:val="0"/>
          <w:sz w:val="28"/>
          <w:szCs w:val="28"/>
        </w:rPr>
        <w:t>国资国企信息公开方面，海口市、三亚市、儋州市三个评估对象都符合要求。</w:t>
      </w:r>
    </w:p>
    <w:p w:rsidR="00493C22" w:rsidRDefault="00BC4057">
      <w:pPr>
        <w:pStyle w:val="a8"/>
        <w:numPr>
          <w:ilvl w:val="0"/>
          <w:numId w:val="2"/>
        </w:numPr>
        <w:ind w:firstLineChars="0"/>
        <w:rPr>
          <w:rFonts w:ascii="仿宋" w:eastAsia="仿宋" w:hAnsi="仿宋" w:cs="仿宋"/>
          <w:bCs/>
          <w:color w:val="000000"/>
          <w:kern w:val="0"/>
          <w:sz w:val="28"/>
          <w:szCs w:val="28"/>
        </w:rPr>
      </w:pPr>
      <w:r>
        <w:rPr>
          <w:rFonts w:ascii="仿宋" w:eastAsia="仿宋" w:hAnsi="仿宋" w:cs="仿宋" w:hint="eastAsia"/>
          <w:bCs/>
          <w:color w:val="000000"/>
          <w:kern w:val="0"/>
          <w:sz w:val="28"/>
          <w:szCs w:val="28"/>
        </w:rPr>
        <w:t>农业供给侧结构性改革信息公开</w:t>
      </w:r>
    </w:p>
    <w:p w:rsidR="00493C22" w:rsidRDefault="00BC4057">
      <w:pPr>
        <w:pStyle w:val="a8"/>
        <w:numPr>
          <w:ilvl w:val="0"/>
          <w:numId w:val="8"/>
        </w:numPr>
        <w:ind w:firstLineChars="0"/>
        <w:rPr>
          <w:rFonts w:ascii="仿宋" w:eastAsia="仿宋" w:hAnsi="仿宋" w:cs="仿宋"/>
          <w:bCs/>
          <w:color w:val="000000"/>
          <w:kern w:val="0"/>
          <w:sz w:val="28"/>
          <w:szCs w:val="28"/>
        </w:rPr>
      </w:pPr>
      <w:r>
        <w:rPr>
          <w:rFonts w:ascii="仿宋" w:eastAsia="仿宋" w:hAnsi="仿宋" w:cs="仿宋"/>
          <w:bCs/>
          <w:color w:val="000000"/>
          <w:kern w:val="0"/>
          <w:sz w:val="28"/>
          <w:szCs w:val="28"/>
        </w:rPr>
        <w:t>公开</w:t>
      </w:r>
      <w:bookmarkStart w:id="0" w:name="_Hlk509053689"/>
      <w:r>
        <w:rPr>
          <w:rFonts w:ascii="仿宋" w:eastAsia="仿宋" w:hAnsi="仿宋" w:cs="仿宋" w:hint="eastAsia"/>
          <w:bCs/>
          <w:color w:val="000000"/>
          <w:kern w:val="0"/>
          <w:sz w:val="28"/>
          <w:szCs w:val="28"/>
        </w:rPr>
        <w:t>冬</w:t>
      </w:r>
      <w:r>
        <w:rPr>
          <w:rFonts w:ascii="仿宋" w:eastAsia="仿宋" w:hAnsi="仿宋" w:cs="仿宋"/>
          <w:bCs/>
          <w:color w:val="000000"/>
          <w:kern w:val="0"/>
          <w:sz w:val="28"/>
          <w:szCs w:val="28"/>
        </w:rPr>
        <w:t>季瓜</w:t>
      </w:r>
      <w:r>
        <w:rPr>
          <w:rFonts w:ascii="仿宋" w:eastAsia="仿宋" w:hAnsi="仿宋" w:cs="仿宋" w:hint="eastAsia"/>
          <w:bCs/>
          <w:color w:val="000000"/>
          <w:kern w:val="0"/>
          <w:sz w:val="28"/>
          <w:szCs w:val="28"/>
        </w:rPr>
        <w:t>菜、常</w:t>
      </w:r>
      <w:r>
        <w:rPr>
          <w:rFonts w:ascii="仿宋" w:eastAsia="仿宋" w:hAnsi="仿宋" w:cs="仿宋"/>
          <w:bCs/>
          <w:color w:val="000000"/>
          <w:kern w:val="0"/>
          <w:sz w:val="28"/>
          <w:szCs w:val="28"/>
        </w:rPr>
        <w:t>年蔬菜田头价格信息</w:t>
      </w:r>
      <w:bookmarkEnd w:id="0"/>
      <w:r>
        <w:rPr>
          <w:rFonts w:ascii="仿宋" w:eastAsia="仿宋" w:hAnsi="仿宋" w:cs="仿宋" w:hint="eastAsia"/>
          <w:bCs/>
          <w:color w:val="000000"/>
          <w:kern w:val="0"/>
          <w:sz w:val="28"/>
          <w:szCs w:val="28"/>
        </w:rPr>
        <w:t>方面，64%的评估对象符合要求，白沙县、昌江县、临高县、海口市美兰区、琼海市、屯昌县、文昌市、五指山市8个市县缺少对冬季瓜菜、常</w:t>
      </w:r>
      <w:r>
        <w:rPr>
          <w:rFonts w:ascii="仿宋" w:eastAsia="仿宋" w:hAnsi="仿宋" w:cs="仿宋"/>
          <w:bCs/>
          <w:color w:val="000000"/>
          <w:kern w:val="0"/>
          <w:sz w:val="28"/>
          <w:szCs w:val="28"/>
        </w:rPr>
        <w:t>年蔬菜田头价格信息</w:t>
      </w:r>
      <w:r>
        <w:rPr>
          <w:rFonts w:ascii="仿宋" w:eastAsia="仿宋" w:hAnsi="仿宋" w:cs="仿宋" w:hint="eastAsia"/>
          <w:bCs/>
          <w:color w:val="000000"/>
          <w:kern w:val="0"/>
          <w:sz w:val="28"/>
          <w:szCs w:val="28"/>
        </w:rPr>
        <w:t>的公开，占评估对象总数的36%。</w:t>
      </w:r>
    </w:p>
    <w:p w:rsidR="00493C22" w:rsidRDefault="00BC4057">
      <w:pPr>
        <w:pStyle w:val="a8"/>
        <w:numPr>
          <w:ilvl w:val="0"/>
          <w:numId w:val="8"/>
        </w:numPr>
        <w:ind w:firstLineChars="0"/>
        <w:rPr>
          <w:rFonts w:ascii="仿宋" w:eastAsia="仿宋" w:hAnsi="仿宋" w:cs="仿宋"/>
          <w:bCs/>
          <w:color w:val="000000"/>
          <w:kern w:val="0"/>
          <w:sz w:val="28"/>
          <w:szCs w:val="28"/>
        </w:rPr>
      </w:pPr>
      <w:r>
        <w:rPr>
          <w:rFonts w:ascii="仿宋" w:eastAsia="仿宋" w:hAnsi="仿宋" w:cs="仿宋" w:hint="eastAsia"/>
          <w:bCs/>
          <w:color w:val="000000"/>
          <w:kern w:val="0"/>
          <w:sz w:val="28"/>
          <w:szCs w:val="28"/>
        </w:rPr>
        <w:t>公开承包土地“三权分置”、农村产权制度改革、农村集体资产清产核资、农业补贴等政策措施方面，95.5%的评估对象符合要求，只有保亭县对相关信息存在要素缺失。</w:t>
      </w:r>
    </w:p>
    <w:p w:rsidR="00493C22" w:rsidRDefault="00BC4057">
      <w:pPr>
        <w:pStyle w:val="a8"/>
        <w:numPr>
          <w:ilvl w:val="0"/>
          <w:numId w:val="8"/>
        </w:numPr>
        <w:ind w:firstLineChars="0"/>
        <w:rPr>
          <w:rFonts w:ascii="仿宋" w:eastAsia="仿宋" w:hAnsi="仿宋" w:cs="仿宋"/>
          <w:bCs/>
          <w:color w:val="000000"/>
          <w:kern w:val="0"/>
          <w:sz w:val="28"/>
          <w:szCs w:val="28"/>
        </w:rPr>
      </w:pPr>
      <w:r>
        <w:rPr>
          <w:rFonts w:ascii="仿宋" w:eastAsia="仿宋" w:hAnsi="仿宋" w:cs="仿宋" w:hint="eastAsia"/>
          <w:bCs/>
          <w:color w:val="000000"/>
          <w:kern w:val="0"/>
          <w:sz w:val="28"/>
          <w:szCs w:val="28"/>
        </w:rPr>
        <w:t>农村土地承包经营权确权登记颁证等工作进展情况公开方面，</w:t>
      </w:r>
      <w:r>
        <w:rPr>
          <w:rFonts w:ascii="仿宋" w:eastAsia="仿宋" w:hAnsi="仿宋" w:cs="仿宋"/>
          <w:bCs/>
          <w:color w:val="000000"/>
          <w:kern w:val="0"/>
          <w:sz w:val="28"/>
          <w:szCs w:val="28"/>
        </w:rPr>
        <w:t>73</w:t>
      </w:r>
      <w:r>
        <w:rPr>
          <w:rFonts w:ascii="仿宋" w:eastAsia="仿宋" w:hAnsi="仿宋" w:cs="仿宋" w:hint="eastAsia"/>
          <w:bCs/>
          <w:color w:val="000000"/>
          <w:kern w:val="0"/>
          <w:sz w:val="28"/>
          <w:szCs w:val="28"/>
        </w:rPr>
        <w:t>%的评估对象符合要求，白沙县、临高县、陵水县、海口市琼山区、屯昌县5个市县未公开农村土地承包经营权确权登记颁证等情况。</w:t>
      </w:r>
    </w:p>
    <w:p w:rsidR="00493C22" w:rsidRDefault="00BC4057">
      <w:pPr>
        <w:pStyle w:val="a8"/>
        <w:numPr>
          <w:ilvl w:val="0"/>
          <w:numId w:val="2"/>
        </w:numPr>
        <w:ind w:firstLineChars="0"/>
        <w:rPr>
          <w:rFonts w:ascii="仿宋" w:eastAsia="仿宋" w:hAnsi="仿宋" w:cs="仿宋"/>
          <w:bCs/>
          <w:color w:val="000000"/>
          <w:kern w:val="0"/>
          <w:sz w:val="28"/>
          <w:szCs w:val="28"/>
        </w:rPr>
      </w:pPr>
      <w:bookmarkStart w:id="1" w:name="_Hlk509053754"/>
      <w:r>
        <w:rPr>
          <w:rFonts w:ascii="仿宋" w:eastAsia="仿宋" w:hAnsi="仿宋" w:cs="仿宋" w:hint="eastAsia"/>
          <w:bCs/>
          <w:color w:val="000000"/>
          <w:kern w:val="0"/>
          <w:sz w:val="28"/>
          <w:szCs w:val="28"/>
        </w:rPr>
        <w:t>消费升级和产品质量提升工作信息公开</w:t>
      </w:r>
      <w:bookmarkEnd w:id="1"/>
    </w:p>
    <w:p w:rsidR="00493C22" w:rsidRDefault="00BC4057">
      <w:pPr>
        <w:pStyle w:val="a8"/>
        <w:numPr>
          <w:ilvl w:val="0"/>
          <w:numId w:val="9"/>
        </w:numPr>
        <w:ind w:firstLineChars="0"/>
        <w:rPr>
          <w:rFonts w:ascii="仿宋" w:eastAsia="仿宋" w:hAnsi="仿宋" w:cs="仿宋"/>
          <w:bCs/>
          <w:color w:val="000000"/>
          <w:kern w:val="0"/>
          <w:sz w:val="28"/>
          <w:szCs w:val="28"/>
        </w:rPr>
      </w:pPr>
      <w:r>
        <w:rPr>
          <w:rFonts w:ascii="仿宋" w:eastAsia="仿宋" w:hAnsi="仿宋" w:cs="仿宋" w:hint="eastAsia"/>
          <w:bCs/>
          <w:color w:val="000000"/>
          <w:kern w:val="0"/>
          <w:sz w:val="28"/>
          <w:szCs w:val="28"/>
        </w:rPr>
        <w:t>公开与群众密切相关的消费品和全域旅游、体育健身、</w:t>
      </w:r>
      <w:proofErr w:type="gramStart"/>
      <w:r>
        <w:rPr>
          <w:rFonts w:ascii="仿宋" w:eastAsia="仿宋" w:hAnsi="仿宋" w:cs="仿宋" w:hint="eastAsia"/>
          <w:bCs/>
          <w:color w:val="000000"/>
          <w:kern w:val="0"/>
          <w:sz w:val="28"/>
          <w:szCs w:val="28"/>
        </w:rPr>
        <w:t>医</w:t>
      </w:r>
      <w:proofErr w:type="gramEnd"/>
      <w:r>
        <w:rPr>
          <w:rFonts w:ascii="仿宋" w:eastAsia="仿宋" w:hAnsi="仿宋" w:cs="仿宋" w:hint="eastAsia"/>
          <w:bCs/>
          <w:color w:val="000000"/>
          <w:kern w:val="0"/>
          <w:sz w:val="28"/>
          <w:szCs w:val="28"/>
        </w:rPr>
        <w:t>养结合、健康管理、文化创意等新兴服务业的消费情况、质量违法行为记录、产</w:t>
      </w:r>
      <w:r>
        <w:rPr>
          <w:rFonts w:ascii="仿宋" w:eastAsia="仿宋" w:hAnsi="仿宋" w:cs="仿宋"/>
          <w:bCs/>
          <w:color w:val="000000"/>
          <w:kern w:val="0"/>
          <w:sz w:val="28"/>
          <w:szCs w:val="28"/>
        </w:rPr>
        <w:t>品质量监督抽查</w:t>
      </w:r>
      <w:r>
        <w:rPr>
          <w:rFonts w:ascii="仿宋" w:eastAsia="仿宋" w:hAnsi="仿宋" w:cs="仿宋" w:hint="eastAsia"/>
          <w:bCs/>
          <w:color w:val="000000"/>
          <w:kern w:val="0"/>
          <w:sz w:val="28"/>
          <w:szCs w:val="28"/>
        </w:rPr>
        <w:t>及后续处理情况方面，各评估对象都符合要求。</w:t>
      </w:r>
    </w:p>
    <w:p w:rsidR="00493C22" w:rsidRDefault="00BC4057">
      <w:pPr>
        <w:pStyle w:val="a8"/>
        <w:numPr>
          <w:ilvl w:val="0"/>
          <w:numId w:val="9"/>
        </w:numPr>
        <w:ind w:firstLineChars="0"/>
        <w:rPr>
          <w:rFonts w:ascii="仿宋" w:eastAsia="仿宋" w:hAnsi="仿宋" w:cs="仿宋"/>
          <w:bCs/>
          <w:color w:val="000000"/>
          <w:kern w:val="0"/>
          <w:sz w:val="28"/>
          <w:szCs w:val="28"/>
        </w:rPr>
      </w:pPr>
      <w:r>
        <w:rPr>
          <w:rFonts w:ascii="仿宋" w:eastAsia="仿宋" w:hAnsi="仿宋" w:cs="仿宋" w:hint="eastAsia"/>
          <w:bCs/>
          <w:color w:val="000000"/>
          <w:kern w:val="0"/>
          <w:sz w:val="28"/>
          <w:szCs w:val="28"/>
        </w:rPr>
        <w:t>公开</w:t>
      </w:r>
      <w:bookmarkStart w:id="2" w:name="_Hlk509053801"/>
      <w:r>
        <w:rPr>
          <w:rFonts w:ascii="仿宋" w:eastAsia="仿宋" w:hAnsi="仿宋" w:cs="仿宋" w:hint="eastAsia"/>
          <w:bCs/>
          <w:color w:val="000000"/>
          <w:kern w:val="0"/>
          <w:sz w:val="28"/>
          <w:szCs w:val="28"/>
        </w:rPr>
        <w:t>生</w:t>
      </w:r>
      <w:r>
        <w:rPr>
          <w:rFonts w:ascii="仿宋" w:eastAsia="仿宋" w:hAnsi="仿宋" w:cs="仿宋"/>
          <w:bCs/>
          <w:color w:val="000000"/>
          <w:kern w:val="0"/>
          <w:sz w:val="28"/>
          <w:szCs w:val="28"/>
        </w:rPr>
        <w:t>产领域</w:t>
      </w:r>
      <w:r>
        <w:rPr>
          <w:rFonts w:ascii="仿宋" w:eastAsia="仿宋" w:hAnsi="仿宋" w:cs="仿宋" w:hint="eastAsia"/>
          <w:bCs/>
          <w:color w:val="000000"/>
          <w:kern w:val="0"/>
          <w:sz w:val="28"/>
          <w:szCs w:val="28"/>
        </w:rPr>
        <w:t>产品质量监管政策法规、标准、程序和结果</w:t>
      </w:r>
      <w:bookmarkEnd w:id="2"/>
      <w:r>
        <w:rPr>
          <w:rFonts w:ascii="仿宋" w:eastAsia="仿宋" w:hAnsi="仿宋" w:cs="仿宋" w:hint="eastAsia"/>
          <w:bCs/>
          <w:color w:val="000000"/>
          <w:kern w:val="0"/>
          <w:sz w:val="28"/>
          <w:szCs w:val="28"/>
        </w:rPr>
        <w:t>方面，95.5%的评估对象符合要求，只有白沙县缺少产品质量监管的法规、标准、程序和结果。</w:t>
      </w:r>
    </w:p>
    <w:p w:rsidR="00493C22" w:rsidRDefault="00BC4057">
      <w:pPr>
        <w:pStyle w:val="a8"/>
        <w:numPr>
          <w:ilvl w:val="0"/>
          <w:numId w:val="9"/>
        </w:numPr>
        <w:ind w:firstLineChars="0"/>
        <w:rPr>
          <w:rFonts w:ascii="仿宋" w:eastAsia="仿宋" w:hAnsi="仿宋" w:cs="仿宋"/>
          <w:bCs/>
          <w:color w:val="000000"/>
          <w:kern w:val="0"/>
          <w:sz w:val="28"/>
          <w:szCs w:val="28"/>
        </w:rPr>
      </w:pPr>
      <w:r>
        <w:rPr>
          <w:rFonts w:ascii="仿宋" w:eastAsia="仿宋" w:hAnsi="仿宋" w:cs="仿宋" w:hint="eastAsia"/>
          <w:bCs/>
          <w:color w:val="000000"/>
          <w:kern w:val="0"/>
          <w:sz w:val="28"/>
          <w:szCs w:val="28"/>
        </w:rPr>
        <w:t>质量提升行动、执法专项行动信息公开方面，95.5%的评估对象符合要求，只有定安县缺少产品质量监管的法规、标准、程序和结果，占评估对象总数的4.5%。</w:t>
      </w:r>
    </w:p>
    <w:p w:rsidR="00493C22" w:rsidRDefault="00BC4057">
      <w:pPr>
        <w:pStyle w:val="a8"/>
        <w:numPr>
          <w:ilvl w:val="0"/>
          <w:numId w:val="9"/>
        </w:numPr>
        <w:ind w:firstLineChars="0"/>
        <w:rPr>
          <w:rFonts w:ascii="仿宋" w:eastAsia="仿宋" w:hAnsi="仿宋" w:cs="仿宋"/>
          <w:bCs/>
          <w:color w:val="000000"/>
          <w:kern w:val="0"/>
          <w:sz w:val="28"/>
          <w:szCs w:val="28"/>
        </w:rPr>
      </w:pPr>
      <w:r>
        <w:rPr>
          <w:rFonts w:ascii="仿宋" w:eastAsia="仿宋" w:hAnsi="仿宋" w:cs="仿宋" w:hint="eastAsia"/>
          <w:bCs/>
          <w:color w:val="000000"/>
          <w:kern w:val="0"/>
          <w:sz w:val="28"/>
          <w:szCs w:val="28"/>
        </w:rPr>
        <w:t>及时公布流通领域商品质量抽检结果方面，82%的评估对象符合要求，乐东县、海口市美兰区、文昌市、海口市秀英区4个地区和市县未及时公布流通领域商品质量抽检结果。</w:t>
      </w:r>
    </w:p>
    <w:p w:rsidR="00493C22" w:rsidRDefault="00BC4057">
      <w:pPr>
        <w:pStyle w:val="a8"/>
        <w:numPr>
          <w:ilvl w:val="0"/>
          <w:numId w:val="2"/>
        </w:numPr>
        <w:ind w:firstLineChars="0"/>
        <w:rPr>
          <w:rFonts w:ascii="仿宋" w:eastAsia="仿宋" w:hAnsi="仿宋" w:cs="仿宋"/>
          <w:bCs/>
          <w:color w:val="000000"/>
          <w:kern w:val="0"/>
          <w:sz w:val="28"/>
          <w:szCs w:val="28"/>
        </w:rPr>
      </w:pPr>
      <w:r>
        <w:rPr>
          <w:rFonts w:ascii="仿宋" w:eastAsia="仿宋" w:hAnsi="仿宋" w:cs="仿宋" w:hint="eastAsia"/>
          <w:bCs/>
          <w:color w:val="000000"/>
          <w:kern w:val="0"/>
          <w:sz w:val="28"/>
          <w:szCs w:val="28"/>
        </w:rPr>
        <w:t xml:space="preserve">环境保护信息公开 </w:t>
      </w:r>
    </w:p>
    <w:p w:rsidR="00493C22" w:rsidRDefault="00BC4057">
      <w:pPr>
        <w:ind w:left="840" w:firstLine="420"/>
        <w:rPr>
          <w:rFonts w:ascii="仿宋" w:eastAsia="仿宋" w:hAnsi="仿宋" w:cs="仿宋"/>
          <w:bCs/>
          <w:color w:val="000000"/>
          <w:kern w:val="0"/>
          <w:sz w:val="28"/>
          <w:szCs w:val="28"/>
        </w:rPr>
      </w:pPr>
      <w:r>
        <w:rPr>
          <w:rFonts w:ascii="仿宋" w:eastAsia="仿宋" w:hAnsi="仿宋" w:cs="仿宋" w:hint="eastAsia"/>
          <w:bCs/>
          <w:color w:val="000000"/>
          <w:kern w:val="0"/>
          <w:sz w:val="28"/>
          <w:szCs w:val="28"/>
        </w:rPr>
        <w:t>设置环境保护专栏，公开环境政策措施、环境治理工作进展、企业环境信息及环境评估报告、及时公开全面推行“河长制”工作实施方案、管理保护目标以及河湖保护情况等方面，各评估对象都符合要求。</w:t>
      </w:r>
    </w:p>
    <w:p w:rsidR="00493C22" w:rsidRDefault="00BC4057">
      <w:pPr>
        <w:pStyle w:val="a8"/>
        <w:numPr>
          <w:ilvl w:val="0"/>
          <w:numId w:val="2"/>
        </w:numPr>
        <w:ind w:firstLineChars="0"/>
        <w:rPr>
          <w:rFonts w:ascii="仿宋" w:eastAsia="仿宋" w:hAnsi="仿宋" w:cs="仿宋"/>
          <w:bCs/>
          <w:color w:val="000000"/>
          <w:kern w:val="0"/>
          <w:sz w:val="28"/>
          <w:szCs w:val="28"/>
        </w:rPr>
      </w:pPr>
      <w:r>
        <w:rPr>
          <w:rFonts w:ascii="仿宋" w:eastAsia="仿宋" w:hAnsi="仿宋" w:cs="仿宋" w:hint="eastAsia"/>
          <w:bCs/>
          <w:color w:val="000000"/>
          <w:kern w:val="0"/>
          <w:sz w:val="28"/>
          <w:szCs w:val="28"/>
        </w:rPr>
        <w:t xml:space="preserve"> 食品药品安全领域信息公开</w:t>
      </w:r>
    </w:p>
    <w:p w:rsidR="00493C22" w:rsidRDefault="00BC4057">
      <w:pPr>
        <w:pStyle w:val="a8"/>
        <w:numPr>
          <w:ilvl w:val="0"/>
          <w:numId w:val="10"/>
        </w:numPr>
        <w:ind w:firstLineChars="0"/>
        <w:rPr>
          <w:rFonts w:ascii="仿宋" w:eastAsia="仿宋" w:hAnsi="仿宋" w:cs="仿宋"/>
          <w:bCs/>
          <w:color w:val="000000"/>
          <w:kern w:val="0"/>
          <w:sz w:val="28"/>
          <w:szCs w:val="28"/>
        </w:rPr>
      </w:pPr>
      <w:r>
        <w:rPr>
          <w:rFonts w:ascii="仿宋" w:eastAsia="仿宋" w:hAnsi="仿宋" w:cs="仿宋" w:hint="eastAsia"/>
          <w:bCs/>
          <w:color w:val="000000"/>
          <w:kern w:val="0"/>
          <w:sz w:val="28"/>
          <w:szCs w:val="28"/>
        </w:rPr>
        <w:t>食品药品安全违法行为处罚信息公开方面，各评估对象都符合要求。</w:t>
      </w:r>
    </w:p>
    <w:p w:rsidR="00493C22" w:rsidRDefault="00BC4057">
      <w:pPr>
        <w:pStyle w:val="a8"/>
        <w:numPr>
          <w:ilvl w:val="0"/>
          <w:numId w:val="10"/>
        </w:numPr>
        <w:ind w:firstLineChars="0"/>
        <w:rPr>
          <w:rFonts w:ascii="仿宋" w:eastAsia="仿宋" w:hAnsi="仿宋" w:cs="仿宋"/>
          <w:bCs/>
          <w:color w:val="000000"/>
          <w:kern w:val="0"/>
          <w:sz w:val="28"/>
          <w:szCs w:val="28"/>
        </w:rPr>
      </w:pPr>
      <w:r>
        <w:rPr>
          <w:rFonts w:ascii="仿宋" w:eastAsia="仿宋" w:hAnsi="仿宋" w:cs="仿宋" w:hint="eastAsia"/>
          <w:bCs/>
          <w:color w:val="000000"/>
          <w:kern w:val="0"/>
          <w:sz w:val="28"/>
          <w:szCs w:val="28"/>
        </w:rPr>
        <w:t>定期公布全省食品抽检总体情况、发现的主要问题和核查处置情况方面，95.5%的评估对象符合要求，只有文昌市并未定</w:t>
      </w:r>
      <w:proofErr w:type="gramStart"/>
      <w:r>
        <w:rPr>
          <w:rFonts w:ascii="仿宋" w:eastAsia="仿宋" w:hAnsi="仿宋" w:cs="仿宋" w:hint="eastAsia"/>
          <w:bCs/>
          <w:color w:val="000000"/>
          <w:kern w:val="0"/>
          <w:sz w:val="28"/>
          <w:szCs w:val="28"/>
        </w:rPr>
        <w:t>期公布</w:t>
      </w:r>
      <w:proofErr w:type="gramEnd"/>
      <w:r>
        <w:rPr>
          <w:rFonts w:ascii="仿宋" w:eastAsia="仿宋" w:hAnsi="仿宋" w:cs="仿宋" w:hint="eastAsia"/>
          <w:bCs/>
          <w:color w:val="000000"/>
          <w:kern w:val="0"/>
          <w:sz w:val="28"/>
          <w:szCs w:val="28"/>
        </w:rPr>
        <w:t>全省食品抽检总体情况、发现的主要问题和核查处置情况，占评估对象总数的4.5%。</w:t>
      </w:r>
    </w:p>
    <w:p w:rsidR="00493C22" w:rsidRDefault="00BC4057">
      <w:pPr>
        <w:pStyle w:val="a8"/>
        <w:numPr>
          <w:ilvl w:val="0"/>
          <w:numId w:val="2"/>
        </w:numPr>
        <w:ind w:firstLineChars="0"/>
        <w:rPr>
          <w:rFonts w:ascii="仿宋" w:eastAsia="仿宋" w:hAnsi="仿宋" w:cs="仿宋"/>
          <w:bCs/>
          <w:color w:val="000000"/>
          <w:kern w:val="0"/>
          <w:sz w:val="28"/>
          <w:szCs w:val="28"/>
        </w:rPr>
      </w:pPr>
      <w:r>
        <w:rPr>
          <w:rFonts w:ascii="仿宋" w:eastAsia="仿宋" w:hAnsi="仿宋" w:cs="仿宋" w:hint="eastAsia"/>
          <w:bCs/>
          <w:color w:val="000000"/>
          <w:kern w:val="0"/>
          <w:sz w:val="28"/>
          <w:szCs w:val="28"/>
        </w:rPr>
        <w:t>房地产市场监管、土地信息公开</w:t>
      </w:r>
    </w:p>
    <w:p w:rsidR="00493C22" w:rsidRDefault="00BC4057">
      <w:pPr>
        <w:pStyle w:val="a8"/>
        <w:numPr>
          <w:ilvl w:val="0"/>
          <w:numId w:val="11"/>
        </w:numPr>
        <w:ind w:firstLineChars="0"/>
        <w:rPr>
          <w:rFonts w:ascii="仿宋" w:eastAsia="仿宋" w:hAnsi="仿宋" w:cs="仿宋"/>
          <w:bCs/>
          <w:color w:val="000000"/>
          <w:kern w:val="0"/>
          <w:sz w:val="28"/>
          <w:szCs w:val="28"/>
        </w:rPr>
      </w:pPr>
      <w:r>
        <w:rPr>
          <w:rFonts w:ascii="仿宋" w:eastAsia="仿宋" w:hAnsi="仿宋" w:cs="仿宋" w:hint="eastAsia"/>
          <w:bCs/>
          <w:color w:val="000000"/>
          <w:kern w:val="0"/>
          <w:sz w:val="28"/>
          <w:szCs w:val="28"/>
        </w:rPr>
        <w:t>及时发布土地供应计划、出让公告、成交公示和供应结果信息方面，各评估对象都符合要求。</w:t>
      </w:r>
    </w:p>
    <w:p w:rsidR="00493C22" w:rsidRDefault="00BC4057">
      <w:pPr>
        <w:pStyle w:val="a8"/>
        <w:numPr>
          <w:ilvl w:val="0"/>
          <w:numId w:val="11"/>
        </w:numPr>
        <w:ind w:firstLineChars="0"/>
        <w:rPr>
          <w:rFonts w:ascii="仿宋" w:eastAsia="仿宋" w:hAnsi="仿宋" w:cs="仿宋"/>
          <w:bCs/>
          <w:color w:val="000000"/>
          <w:kern w:val="0"/>
          <w:sz w:val="28"/>
          <w:szCs w:val="28"/>
        </w:rPr>
      </w:pPr>
      <w:r>
        <w:rPr>
          <w:rFonts w:ascii="仿宋" w:eastAsia="仿宋" w:hAnsi="仿宋" w:cs="仿宋" w:hint="eastAsia"/>
          <w:bCs/>
          <w:color w:val="000000"/>
          <w:kern w:val="0"/>
          <w:sz w:val="28"/>
          <w:szCs w:val="28"/>
        </w:rPr>
        <w:t>按季度公布房地产用地供应数据、城市地价动态监测数据公开方面，</w:t>
      </w:r>
      <w:r>
        <w:rPr>
          <w:rFonts w:ascii="仿宋" w:eastAsia="仿宋" w:hAnsi="仿宋" w:cs="仿宋"/>
          <w:bCs/>
          <w:color w:val="000000"/>
          <w:kern w:val="0"/>
          <w:sz w:val="28"/>
          <w:szCs w:val="28"/>
        </w:rPr>
        <w:t>86.4</w:t>
      </w:r>
      <w:r>
        <w:rPr>
          <w:rFonts w:ascii="仿宋" w:eastAsia="仿宋" w:hAnsi="仿宋" w:cs="仿宋" w:hint="eastAsia"/>
          <w:bCs/>
          <w:color w:val="000000"/>
          <w:kern w:val="0"/>
          <w:sz w:val="28"/>
          <w:szCs w:val="28"/>
        </w:rPr>
        <w:t>%的评估对象符合要求，澄迈县、东方市、万宁市三个市县未按季度公布房地产用地供应数据和公开城市地价动态监测数据。</w:t>
      </w:r>
    </w:p>
    <w:p w:rsidR="00493C22" w:rsidRDefault="00BC4057">
      <w:pPr>
        <w:pStyle w:val="a8"/>
        <w:numPr>
          <w:ilvl w:val="0"/>
          <w:numId w:val="10"/>
        </w:numPr>
        <w:ind w:firstLineChars="0"/>
        <w:rPr>
          <w:rFonts w:ascii="仿宋" w:eastAsia="仿宋" w:hAnsi="仿宋" w:cs="仿宋"/>
          <w:bCs/>
          <w:color w:val="000000"/>
          <w:kern w:val="0"/>
          <w:sz w:val="28"/>
          <w:szCs w:val="28"/>
        </w:rPr>
      </w:pPr>
      <w:r>
        <w:rPr>
          <w:rFonts w:ascii="仿宋" w:eastAsia="仿宋" w:hAnsi="仿宋" w:cs="仿宋" w:hint="eastAsia"/>
          <w:bCs/>
          <w:color w:val="000000"/>
          <w:kern w:val="0"/>
          <w:sz w:val="28"/>
          <w:szCs w:val="28"/>
        </w:rPr>
        <w:t>房地产政策与市场监管信息公开方面，</w:t>
      </w:r>
      <w:r>
        <w:rPr>
          <w:rFonts w:ascii="仿宋" w:eastAsia="仿宋" w:hAnsi="仿宋" w:cs="仿宋"/>
          <w:bCs/>
          <w:color w:val="000000"/>
          <w:kern w:val="0"/>
          <w:sz w:val="28"/>
          <w:szCs w:val="28"/>
        </w:rPr>
        <w:t>81.8</w:t>
      </w:r>
      <w:r>
        <w:rPr>
          <w:rFonts w:ascii="仿宋" w:eastAsia="仿宋" w:hAnsi="仿宋" w:cs="仿宋" w:hint="eastAsia"/>
          <w:bCs/>
          <w:color w:val="000000"/>
          <w:kern w:val="0"/>
          <w:sz w:val="28"/>
          <w:szCs w:val="28"/>
        </w:rPr>
        <w:t>%的评估对象符合要求，定安县、乐东县、海口市美兰区、屯昌县4个市县和地区对房地产政策与市场监管信息未按要求公开。</w:t>
      </w:r>
    </w:p>
    <w:p w:rsidR="00493C22" w:rsidRDefault="00BC4057">
      <w:pPr>
        <w:pStyle w:val="a8"/>
        <w:numPr>
          <w:ilvl w:val="0"/>
          <w:numId w:val="10"/>
        </w:numPr>
        <w:ind w:firstLineChars="0"/>
        <w:rPr>
          <w:rFonts w:ascii="仿宋" w:eastAsia="仿宋" w:hAnsi="仿宋" w:cs="仿宋"/>
          <w:bCs/>
          <w:color w:val="000000"/>
          <w:kern w:val="0"/>
          <w:sz w:val="28"/>
          <w:szCs w:val="28"/>
        </w:rPr>
      </w:pPr>
      <w:r>
        <w:rPr>
          <w:rFonts w:ascii="仿宋" w:eastAsia="仿宋" w:hAnsi="仿宋" w:cs="仿宋" w:hint="eastAsia"/>
          <w:bCs/>
          <w:color w:val="000000"/>
          <w:kern w:val="0"/>
          <w:sz w:val="28"/>
          <w:szCs w:val="28"/>
        </w:rPr>
        <w:t>公开棚户区改造及配套基础设施建设、农村危房改造相关政策措施执行情况方面，77.3%的评估对象符合要求，白沙县、昌江县、定安县、三亚市、五指山市5个市县关于棚户区改造及配套基础设施建设、农村危房改造相关政策措施执行情况存在公开不到位的情况。</w:t>
      </w:r>
    </w:p>
    <w:p w:rsidR="00493C22" w:rsidRDefault="00BC4057">
      <w:pPr>
        <w:pStyle w:val="a8"/>
        <w:numPr>
          <w:ilvl w:val="0"/>
          <w:numId w:val="10"/>
        </w:numPr>
        <w:ind w:firstLineChars="0"/>
        <w:rPr>
          <w:rFonts w:ascii="仿宋" w:eastAsia="仿宋" w:hAnsi="仿宋" w:cs="仿宋"/>
          <w:bCs/>
          <w:color w:val="000000"/>
          <w:kern w:val="0"/>
          <w:sz w:val="28"/>
          <w:szCs w:val="28"/>
        </w:rPr>
      </w:pPr>
      <w:r>
        <w:rPr>
          <w:rFonts w:ascii="仿宋" w:eastAsia="仿宋" w:hAnsi="仿宋" w:cs="仿宋" w:hint="eastAsia"/>
          <w:bCs/>
          <w:color w:val="000000"/>
          <w:kern w:val="0"/>
          <w:sz w:val="28"/>
          <w:szCs w:val="28"/>
        </w:rPr>
        <w:t>公开保障性安居工程相关任务完成情况方面，95.5%的评估对象符合要求，只有乐东县对于保障性安居工程相关任务完成情况公开不到位，占评估对象总数的4.5%。</w:t>
      </w:r>
    </w:p>
    <w:p w:rsidR="00493C22" w:rsidRDefault="00BC4057">
      <w:pPr>
        <w:pStyle w:val="a8"/>
        <w:numPr>
          <w:ilvl w:val="0"/>
          <w:numId w:val="2"/>
        </w:numPr>
        <w:ind w:firstLineChars="0"/>
        <w:rPr>
          <w:rFonts w:ascii="仿宋" w:eastAsia="仿宋" w:hAnsi="仿宋" w:cs="仿宋"/>
          <w:bCs/>
          <w:color w:val="000000"/>
          <w:kern w:val="0"/>
          <w:sz w:val="28"/>
          <w:szCs w:val="28"/>
        </w:rPr>
      </w:pPr>
      <w:r>
        <w:rPr>
          <w:rFonts w:ascii="仿宋" w:eastAsia="仿宋" w:hAnsi="仿宋" w:cs="仿宋" w:hint="eastAsia"/>
          <w:bCs/>
          <w:color w:val="000000"/>
          <w:kern w:val="0"/>
          <w:sz w:val="28"/>
          <w:szCs w:val="28"/>
        </w:rPr>
        <w:t>社会救助信息公开</w:t>
      </w:r>
    </w:p>
    <w:p w:rsidR="00493C22" w:rsidRDefault="00BC4057">
      <w:pPr>
        <w:ind w:left="840" w:firstLine="420"/>
        <w:rPr>
          <w:rFonts w:ascii="仿宋" w:eastAsia="仿宋" w:hAnsi="仿宋" w:cs="仿宋"/>
          <w:bCs/>
          <w:color w:val="000000"/>
          <w:kern w:val="0"/>
          <w:sz w:val="28"/>
          <w:szCs w:val="28"/>
        </w:rPr>
      </w:pPr>
      <w:r>
        <w:rPr>
          <w:rFonts w:ascii="仿宋" w:eastAsia="仿宋" w:hAnsi="仿宋" w:cs="仿宋" w:hint="eastAsia"/>
          <w:bCs/>
          <w:color w:val="000000"/>
          <w:kern w:val="0"/>
          <w:sz w:val="28"/>
          <w:szCs w:val="28"/>
        </w:rPr>
        <w:t>开设社会救助</w:t>
      </w:r>
      <w:r>
        <w:rPr>
          <w:rFonts w:ascii="仿宋" w:eastAsia="仿宋" w:hAnsi="仿宋" w:cs="仿宋"/>
          <w:bCs/>
          <w:color w:val="000000"/>
          <w:kern w:val="0"/>
          <w:sz w:val="28"/>
          <w:szCs w:val="28"/>
        </w:rPr>
        <w:t>专栏</w:t>
      </w:r>
      <w:r>
        <w:rPr>
          <w:rFonts w:ascii="仿宋" w:eastAsia="仿宋" w:hAnsi="仿宋" w:cs="仿宋" w:hint="eastAsia"/>
          <w:bCs/>
          <w:color w:val="000000"/>
          <w:kern w:val="0"/>
          <w:sz w:val="28"/>
          <w:szCs w:val="28"/>
        </w:rPr>
        <w:t>，集</w:t>
      </w:r>
      <w:r>
        <w:rPr>
          <w:rFonts w:ascii="仿宋" w:eastAsia="仿宋" w:hAnsi="仿宋" w:cs="仿宋"/>
          <w:bCs/>
          <w:color w:val="000000"/>
          <w:kern w:val="0"/>
          <w:sz w:val="28"/>
          <w:szCs w:val="28"/>
        </w:rPr>
        <w:t>中公开</w:t>
      </w:r>
      <w:r>
        <w:rPr>
          <w:rFonts w:ascii="仿宋" w:eastAsia="仿宋" w:hAnsi="仿宋" w:cs="仿宋" w:hint="eastAsia"/>
          <w:bCs/>
          <w:color w:val="000000"/>
          <w:kern w:val="0"/>
          <w:sz w:val="28"/>
          <w:szCs w:val="28"/>
        </w:rPr>
        <w:t>城乡低保、特困人员救助供养、医疗救助、临时救助等</w:t>
      </w:r>
      <w:r>
        <w:rPr>
          <w:rFonts w:ascii="仿宋" w:eastAsia="仿宋" w:hAnsi="仿宋" w:cs="仿宋"/>
          <w:bCs/>
          <w:color w:val="000000"/>
          <w:kern w:val="0"/>
          <w:sz w:val="28"/>
          <w:szCs w:val="28"/>
        </w:rPr>
        <w:t>信息</w:t>
      </w:r>
      <w:r>
        <w:rPr>
          <w:rFonts w:ascii="仿宋" w:eastAsia="仿宋" w:hAnsi="仿宋" w:cs="仿宋" w:hint="eastAsia"/>
          <w:bCs/>
          <w:color w:val="000000"/>
          <w:kern w:val="0"/>
          <w:sz w:val="28"/>
          <w:szCs w:val="28"/>
        </w:rPr>
        <w:t>公开方面，各评估对象都符合要求。</w:t>
      </w:r>
    </w:p>
    <w:p w:rsidR="00493C22" w:rsidRDefault="00BC4057">
      <w:pPr>
        <w:pStyle w:val="a8"/>
        <w:numPr>
          <w:ilvl w:val="0"/>
          <w:numId w:val="2"/>
        </w:numPr>
        <w:ind w:firstLineChars="0"/>
        <w:rPr>
          <w:rFonts w:ascii="仿宋" w:eastAsia="仿宋" w:hAnsi="仿宋" w:cs="仿宋"/>
          <w:bCs/>
          <w:color w:val="000000"/>
          <w:kern w:val="0"/>
          <w:sz w:val="28"/>
          <w:szCs w:val="28"/>
        </w:rPr>
      </w:pPr>
      <w:r>
        <w:rPr>
          <w:rFonts w:ascii="仿宋" w:eastAsia="仿宋" w:hAnsi="仿宋" w:cs="仿宋" w:hint="eastAsia"/>
          <w:bCs/>
          <w:color w:val="000000"/>
          <w:kern w:val="0"/>
          <w:sz w:val="28"/>
          <w:szCs w:val="28"/>
        </w:rPr>
        <w:t>安全生产信息公开</w:t>
      </w:r>
    </w:p>
    <w:p w:rsidR="00493C22" w:rsidRDefault="00BC4057">
      <w:pPr>
        <w:pStyle w:val="a8"/>
        <w:numPr>
          <w:ilvl w:val="0"/>
          <w:numId w:val="12"/>
        </w:numPr>
        <w:ind w:firstLineChars="0"/>
        <w:rPr>
          <w:rFonts w:ascii="仿宋" w:eastAsia="仿宋" w:hAnsi="仿宋" w:cs="仿宋"/>
          <w:bCs/>
          <w:color w:val="000000"/>
          <w:kern w:val="0"/>
          <w:sz w:val="28"/>
          <w:szCs w:val="28"/>
        </w:rPr>
      </w:pPr>
      <w:r>
        <w:rPr>
          <w:rFonts w:ascii="仿宋" w:eastAsia="仿宋" w:hAnsi="仿宋" w:cs="仿宋" w:hint="eastAsia"/>
          <w:bCs/>
          <w:color w:val="000000"/>
          <w:kern w:val="0"/>
          <w:sz w:val="28"/>
          <w:szCs w:val="28"/>
        </w:rPr>
        <w:t>公开重大风险隐患排查信息方面，各评估对象都符合要求。</w:t>
      </w:r>
    </w:p>
    <w:p w:rsidR="00493C22" w:rsidRDefault="00BC4057">
      <w:pPr>
        <w:pStyle w:val="a8"/>
        <w:numPr>
          <w:ilvl w:val="0"/>
          <w:numId w:val="12"/>
        </w:numPr>
        <w:ind w:firstLineChars="0"/>
        <w:rPr>
          <w:rFonts w:ascii="仿宋" w:eastAsia="仿宋" w:hAnsi="仿宋" w:cs="仿宋"/>
          <w:bCs/>
          <w:color w:val="000000"/>
          <w:kern w:val="0"/>
          <w:sz w:val="28"/>
          <w:szCs w:val="28"/>
        </w:rPr>
      </w:pPr>
      <w:r>
        <w:rPr>
          <w:rFonts w:ascii="仿宋" w:eastAsia="仿宋" w:hAnsi="仿宋" w:cs="仿宋" w:hint="eastAsia"/>
          <w:bCs/>
          <w:color w:val="000000"/>
          <w:kern w:val="0"/>
          <w:sz w:val="28"/>
          <w:szCs w:val="28"/>
        </w:rPr>
        <w:t>公开安全生产监管监察常规检查执法、暗查暗访、突击检查、随机抽查等执法信息方面，95.5%的评估对象符合要求，只有白沙县对于安全生产监管监察常规检查执法、突击检查、随机抽查等执法信息公开不到位。</w:t>
      </w:r>
    </w:p>
    <w:p w:rsidR="00493C22" w:rsidRDefault="00BC4057">
      <w:pPr>
        <w:ind w:left="840"/>
        <w:rPr>
          <w:rFonts w:ascii="仿宋" w:eastAsia="仿宋" w:hAnsi="仿宋" w:cs="仿宋"/>
          <w:bCs/>
          <w:color w:val="000000"/>
          <w:kern w:val="0"/>
          <w:sz w:val="28"/>
          <w:szCs w:val="28"/>
        </w:rPr>
      </w:pPr>
      <w:r>
        <w:rPr>
          <w:rFonts w:ascii="仿宋" w:eastAsia="仿宋" w:hAnsi="仿宋" w:cs="仿宋" w:hint="eastAsia"/>
          <w:bCs/>
          <w:color w:val="000000"/>
          <w:kern w:val="0"/>
          <w:sz w:val="28"/>
          <w:szCs w:val="28"/>
        </w:rPr>
        <w:t>3. 公开安全生产不良记录“黑名单”制度，并向社会公布方面，只有63.6%的评估对象公开安全生产不良记录“黑名单”制度，并向社会公布。海口市、乐东县、陵水县、琼中市、三亚市、屯昌县、五指山市、海口市秀英区8个市县对于安全生产不良记录“黑名单”制度公开不到位。</w:t>
      </w:r>
    </w:p>
    <w:p w:rsidR="00493C22" w:rsidRDefault="00BC4057">
      <w:pPr>
        <w:pStyle w:val="a8"/>
        <w:numPr>
          <w:ilvl w:val="0"/>
          <w:numId w:val="2"/>
        </w:numPr>
        <w:ind w:firstLineChars="0"/>
        <w:rPr>
          <w:rFonts w:ascii="仿宋" w:eastAsia="仿宋" w:hAnsi="仿宋" w:cs="仿宋"/>
          <w:bCs/>
          <w:color w:val="000000"/>
          <w:kern w:val="0"/>
          <w:sz w:val="28"/>
          <w:szCs w:val="28"/>
        </w:rPr>
      </w:pPr>
      <w:r>
        <w:rPr>
          <w:rFonts w:ascii="仿宋" w:eastAsia="仿宋" w:hAnsi="仿宋" w:cs="仿宋" w:hint="eastAsia"/>
          <w:bCs/>
          <w:color w:val="000000"/>
          <w:kern w:val="0"/>
          <w:sz w:val="28"/>
          <w:szCs w:val="28"/>
        </w:rPr>
        <w:t>涉农资金信息公开</w:t>
      </w:r>
    </w:p>
    <w:p w:rsidR="00493C22" w:rsidRDefault="00BC4057">
      <w:pPr>
        <w:ind w:left="840" w:firstLine="420"/>
        <w:rPr>
          <w:rFonts w:ascii="仿宋" w:eastAsia="仿宋" w:hAnsi="仿宋" w:cs="仿宋"/>
          <w:bCs/>
          <w:color w:val="000000"/>
          <w:kern w:val="0"/>
          <w:sz w:val="28"/>
          <w:szCs w:val="28"/>
        </w:rPr>
      </w:pPr>
      <w:r>
        <w:rPr>
          <w:rFonts w:ascii="仿宋" w:eastAsia="仿宋" w:hAnsi="仿宋" w:cs="仿宋" w:hint="eastAsia"/>
          <w:bCs/>
          <w:color w:val="000000"/>
          <w:kern w:val="0"/>
          <w:sz w:val="28"/>
          <w:szCs w:val="28"/>
        </w:rPr>
        <w:t>涉农资金管理信息公开方面，</w:t>
      </w:r>
      <w:r>
        <w:rPr>
          <w:rFonts w:ascii="仿宋" w:eastAsia="仿宋" w:hAnsi="仿宋" w:cs="仿宋"/>
          <w:bCs/>
          <w:color w:val="000000"/>
          <w:kern w:val="0"/>
          <w:sz w:val="28"/>
          <w:szCs w:val="28"/>
        </w:rPr>
        <w:t>81.8</w:t>
      </w:r>
      <w:r>
        <w:rPr>
          <w:rFonts w:ascii="仿宋" w:eastAsia="仿宋" w:hAnsi="仿宋" w:cs="仿宋" w:hint="eastAsia"/>
          <w:bCs/>
          <w:color w:val="000000"/>
          <w:kern w:val="0"/>
          <w:sz w:val="28"/>
          <w:szCs w:val="28"/>
        </w:rPr>
        <w:t>%的评估对象符合要求，陵水县、海口市龙华区、海口市琼山区、海口市秀英区4个区县对于公开涉农资金管理信息中的资金使用情况、资金发放情况存在不同程度的要素缺失。</w:t>
      </w:r>
    </w:p>
    <w:p w:rsidR="00493C22" w:rsidRDefault="00493C22">
      <w:pPr>
        <w:ind w:left="840" w:firstLine="420"/>
        <w:rPr>
          <w:rFonts w:ascii="仿宋" w:eastAsia="仿宋" w:hAnsi="仿宋" w:cs="仿宋"/>
          <w:bCs/>
          <w:color w:val="000000"/>
          <w:kern w:val="0"/>
          <w:sz w:val="28"/>
          <w:szCs w:val="28"/>
        </w:rPr>
      </w:pPr>
    </w:p>
    <w:p w:rsidR="00493C22" w:rsidRDefault="00BC4057">
      <w:pPr>
        <w:pStyle w:val="a8"/>
        <w:numPr>
          <w:ilvl w:val="0"/>
          <w:numId w:val="1"/>
        </w:numPr>
        <w:ind w:firstLineChars="0"/>
        <w:rPr>
          <w:rFonts w:ascii="仿宋" w:eastAsia="仿宋" w:hAnsi="仿宋" w:cs="仿宋"/>
          <w:b/>
          <w:color w:val="000000"/>
          <w:kern w:val="0"/>
          <w:sz w:val="28"/>
          <w:szCs w:val="28"/>
        </w:rPr>
      </w:pPr>
      <w:r>
        <w:rPr>
          <w:rFonts w:ascii="仿宋" w:eastAsia="仿宋" w:hAnsi="仿宋" w:cs="仿宋" w:hint="eastAsia"/>
          <w:b/>
          <w:color w:val="000000"/>
          <w:kern w:val="0"/>
          <w:sz w:val="28"/>
          <w:szCs w:val="28"/>
        </w:rPr>
        <w:t>依申请公开方面</w:t>
      </w:r>
    </w:p>
    <w:p w:rsidR="00493C22" w:rsidRDefault="00BC4057">
      <w:pPr>
        <w:pStyle w:val="a8"/>
        <w:numPr>
          <w:ilvl w:val="0"/>
          <w:numId w:val="13"/>
        </w:numPr>
        <w:ind w:firstLineChars="0"/>
        <w:rPr>
          <w:rFonts w:ascii="仿宋" w:eastAsia="仿宋" w:hAnsi="仿宋" w:cs="仿宋"/>
          <w:bCs/>
          <w:color w:val="000000"/>
          <w:kern w:val="0"/>
          <w:sz w:val="28"/>
          <w:szCs w:val="28"/>
        </w:rPr>
      </w:pPr>
      <w:r>
        <w:rPr>
          <w:rFonts w:ascii="仿宋" w:eastAsia="仿宋" w:hAnsi="仿宋" w:cs="仿宋" w:hint="eastAsia"/>
          <w:bCs/>
          <w:color w:val="000000"/>
          <w:kern w:val="0"/>
          <w:sz w:val="28"/>
          <w:szCs w:val="28"/>
        </w:rPr>
        <w:t>答复的及时性</w:t>
      </w:r>
    </w:p>
    <w:p w:rsidR="00493C22" w:rsidRDefault="00BC4057">
      <w:pPr>
        <w:ind w:left="420" w:firstLine="300"/>
        <w:rPr>
          <w:rFonts w:ascii="仿宋" w:eastAsia="仿宋" w:hAnsi="仿宋" w:cs="仿宋"/>
          <w:bCs/>
          <w:color w:val="000000"/>
          <w:kern w:val="0"/>
          <w:sz w:val="28"/>
          <w:szCs w:val="28"/>
        </w:rPr>
      </w:pPr>
      <w:r>
        <w:rPr>
          <w:rFonts w:ascii="仿宋" w:eastAsia="仿宋" w:hAnsi="仿宋" w:cs="仿宋" w:hint="eastAsia"/>
          <w:bCs/>
          <w:color w:val="000000"/>
          <w:kern w:val="0"/>
          <w:sz w:val="28"/>
          <w:szCs w:val="28"/>
        </w:rPr>
        <w:t>对于依申请公开信息的答复及时性，77%的评估对象符合要求，白沙县、保亭县、澄迈县3个市县无法在政府门户网站进行申请，因此答复内容及时性的评估无法进行，因此认定为不符合要求。定安县、五指山市2个市县未在规定时限内对依申请的信息进行答复，并且在超规定时限后也未对依申请公开的内容进行答复，以上不符合要求的市县，占评估对象总数的23%。</w:t>
      </w:r>
    </w:p>
    <w:p w:rsidR="00493C22" w:rsidRDefault="00BC4057">
      <w:pPr>
        <w:pStyle w:val="a8"/>
        <w:numPr>
          <w:ilvl w:val="0"/>
          <w:numId w:val="13"/>
        </w:numPr>
        <w:ind w:firstLineChars="0"/>
        <w:rPr>
          <w:rFonts w:ascii="仿宋" w:eastAsia="仿宋" w:hAnsi="仿宋" w:cs="仿宋"/>
          <w:bCs/>
          <w:color w:val="000000"/>
          <w:kern w:val="0"/>
          <w:sz w:val="28"/>
          <w:szCs w:val="28"/>
        </w:rPr>
      </w:pPr>
      <w:r>
        <w:rPr>
          <w:rFonts w:ascii="仿宋" w:eastAsia="仿宋" w:hAnsi="仿宋" w:cs="仿宋" w:hint="eastAsia"/>
          <w:bCs/>
          <w:color w:val="000000"/>
          <w:kern w:val="0"/>
          <w:sz w:val="28"/>
          <w:szCs w:val="28"/>
        </w:rPr>
        <w:t>答复内容的规范性</w:t>
      </w:r>
    </w:p>
    <w:p w:rsidR="00493C22" w:rsidRDefault="00BC4057">
      <w:pPr>
        <w:ind w:left="420" w:firstLine="300"/>
        <w:rPr>
          <w:rFonts w:ascii="仿宋" w:eastAsia="仿宋" w:hAnsi="仿宋" w:cs="仿宋"/>
          <w:bCs/>
          <w:color w:val="000000"/>
          <w:kern w:val="0"/>
          <w:sz w:val="28"/>
          <w:szCs w:val="28"/>
        </w:rPr>
      </w:pPr>
      <w:r>
        <w:rPr>
          <w:rFonts w:ascii="仿宋" w:eastAsia="仿宋" w:hAnsi="仿宋" w:cs="仿宋" w:hint="eastAsia"/>
          <w:bCs/>
          <w:color w:val="000000"/>
          <w:kern w:val="0"/>
          <w:sz w:val="28"/>
          <w:szCs w:val="28"/>
        </w:rPr>
        <w:t>对于依申请公开信息答复内容的规范性，77%的评估对象符合要求，白沙县、保亭县、澄迈县3个市县无法在政府门户网站进行申请，因此答复内容规范性的评估无法进行，故认定为不符合要求。定安县、五指山市2个市县未在规定时限内对依申请的信息进行答复，并且在超规定时限后也未对依申请公开的内容进行答复，故认定为不符合要求。综合以上不符合要求的市县，占评估对象总数的23%。</w:t>
      </w:r>
    </w:p>
    <w:p w:rsidR="00493C22" w:rsidRDefault="00BC4057">
      <w:pPr>
        <w:pStyle w:val="a8"/>
        <w:numPr>
          <w:ilvl w:val="0"/>
          <w:numId w:val="13"/>
        </w:numPr>
        <w:ind w:firstLineChars="0"/>
        <w:rPr>
          <w:rFonts w:ascii="仿宋" w:eastAsia="仿宋" w:hAnsi="仿宋" w:cs="仿宋"/>
          <w:bCs/>
          <w:color w:val="000000"/>
          <w:kern w:val="0"/>
          <w:sz w:val="28"/>
          <w:szCs w:val="28"/>
        </w:rPr>
      </w:pPr>
      <w:r>
        <w:rPr>
          <w:rFonts w:ascii="仿宋" w:eastAsia="仿宋" w:hAnsi="仿宋" w:cs="仿宋" w:hint="eastAsia"/>
          <w:bCs/>
          <w:color w:val="000000"/>
          <w:kern w:val="0"/>
          <w:sz w:val="28"/>
          <w:szCs w:val="28"/>
        </w:rPr>
        <w:t>答复形式的规范性</w:t>
      </w:r>
    </w:p>
    <w:p w:rsidR="00493C22" w:rsidRDefault="00BC4057">
      <w:pPr>
        <w:ind w:left="420" w:firstLine="300"/>
        <w:rPr>
          <w:rFonts w:ascii="仿宋" w:eastAsia="仿宋" w:hAnsi="仿宋" w:cs="仿宋"/>
          <w:bCs/>
          <w:color w:val="000000"/>
          <w:kern w:val="0"/>
          <w:sz w:val="28"/>
          <w:szCs w:val="28"/>
        </w:rPr>
      </w:pPr>
      <w:r>
        <w:rPr>
          <w:rFonts w:ascii="仿宋" w:eastAsia="仿宋" w:hAnsi="仿宋" w:cs="仿宋" w:hint="eastAsia"/>
          <w:bCs/>
          <w:color w:val="000000"/>
          <w:kern w:val="0"/>
          <w:sz w:val="28"/>
          <w:szCs w:val="28"/>
        </w:rPr>
        <w:t>对于依申请公开信息答复形式的规范性，77%的评估对象符合要求，白沙县、保亭县、澄迈县、定安县、五指山市5个市县并未答复，因此答复形式规范性的评估无法进行，因此认定为不符合要求。</w:t>
      </w:r>
    </w:p>
    <w:p w:rsidR="00493C22" w:rsidRDefault="00BC4057">
      <w:pPr>
        <w:pStyle w:val="a8"/>
        <w:numPr>
          <w:ilvl w:val="0"/>
          <w:numId w:val="13"/>
        </w:numPr>
        <w:ind w:firstLineChars="0"/>
        <w:rPr>
          <w:rFonts w:ascii="仿宋" w:eastAsia="仿宋" w:hAnsi="仿宋" w:cs="仿宋"/>
          <w:bCs/>
          <w:color w:val="000000"/>
          <w:kern w:val="0"/>
          <w:sz w:val="28"/>
          <w:szCs w:val="28"/>
        </w:rPr>
      </w:pPr>
      <w:r>
        <w:rPr>
          <w:rFonts w:ascii="仿宋" w:eastAsia="仿宋" w:hAnsi="仿宋" w:cs="仿宋" w:hint="eastAsia"/>
          <w:bCs/>
          <w:color w:val="000000"/>
          <w:kern w:val="0"/>
          <w:sz w:val="28"/>
          <w:szCs w:val="28"/>
        </w:rPr>
        <w:t>申请渠道的畅通</w:t>
      </w:r>
    </w:p>
    <w:p w:rsidR="00493C22" w:rsidRDefault="00BC4057">
      <w:pPr>
        <w:ind w:left="420" w:firstLine="300"/>
        <w:rPr>
          <w:rFonts w:ascii="仿宋" w:eastAsia="仿宋" w:hAnsi="仿宋" w:cs="仿宋"/>
          <w:bCs/>
          <w:color w:val="000000"/>
          <w:kern w:val="0"/>
          <w:sz w:val="28"/>
          <w:szCs w:val="28"/>
        </w:rPr>
      </w:pPr>
      <w:r>
        <w:rPr>
          <w:rFonts w:ascii="仿宋" w:eastAsia="仿宋" w:hAnsi="仿宋" w:cs="仿宋" w:hint="eastAsia"/>
          <w:bCs/>
          <w:color w:val="000000"/>
          <w:kern w:val="0"/>
          <w:sz w:val="28"/>
          <w:szCs w:val="28"/>
        </w:rPr>
        <w:t>申请渠道的畅通方面，86%的评估对象符合要求，白沙县、保亭县、 澄迈县3个市县无法在政府门户网站进行申请，因此不符合要求，占评估市县总数的14%。</w:t>
      </w:r>
    </w:p>
    <w:p w:rsidR="00493C22" w:rsidRDefault="00BC4057">
      <w:pPr>
        <w:pStyle w:val="a8"/>
        <w:numPr>
          <w:ilvl w:val="0"/>
          <w:numId w:val="1"/>
        </w:numPr>
        <w:ind w:firstLineChars="0"/>
        <w:rPr>
          <w:rFonts w:ascii="仿宋" w:eastAsia="仿宋" w:hAnsi="仿宋" w:cs="仿宋"/>
          <w:b/>
          <w:color w:val="000000"/>
          <w:kern w:val="0"/>
          <w:sz w:val="28"/>
          <w:szCs w:val="28"/>
        </w:rPr>
      </w:pPr>
      <w:r>
        <w:rPr>
          <w:rFonts w:ascii="仿宋" w:eastAsia="仿宋" w:hAnsi="仿宋" w:cs="仿宋" w:hint="eastAsia"/>
          <w:b/>
          <w:color w:val="000000"/>
          <w:kern w:val="0"/>
          <w:sz w:val="28"/>
          <w:szCs w:val="28"/>
        </w:rPr>
        <w:t>政策解读与回应关切</w:t>
      </w:r>
    </w:p>
    <w:p w:rsidR="00493C22" w:rsidRDefault="00BC4057">
      <w:pPr>
        <w:pStyle w:val="a8"/>
        <w:numPr>
          <w:ilvl w:val="0"/>
          <w:numId w:val="14"/>
        </w:numPr>
        <w:ind w:firstLineChars="0"/>
        <w:rPr>
          <w:rFonts w:ascii="仿宋" w:eastAsia="仿宋" w:hAnsi="仿宋" w:cs="仿宋"/>
          <w:bCs/>
          <w:color w:val="000000"/>
          <w:kern w:val="0"/>
          <w:sz w:val="28"/>
          <w:szCs w:val="28"/>
        </w:rPr>
      </w:pPr>
      <w:r>
        <w:rPr>
          <w:rFonts w:ascii="仿宋" w:eastAsia="仿宋" w:hAnsi="仿宋" w:cs="仿宋" w:hint="eastAsia"/>
          <w:bCs/>
          <w:color w:val="000000"/>
          <w:kern w:val="0"/>
          <w:sz w:val="28"/>
          <w:szCs w:val="28"/>
        </w:rPr>
        <w:t>政策解读</w:t>
      </w:r>
    </w:p>
    <w:p w:rsidR="00493C22" w:rsidRDefault="00BC4057">
      <w:pPr>
        <w:pStyle w:val="a8"/>
        <w:numPr>
          <w:ilvl w:val="0"/>
          <w:numId w:val="15"/>
        </w:numPr>
        <w:ind w:firstLineChars="0"/>
        <w:rPr>
          <w:rFonts w:ascii="仿宋" w:eastAsia="仿宋" w:hAnsi="仿宋" w:cs="仿宋"/>
          <w:bCs/>
          <w:color w:val="000000"/>
          <w:kern w:val="0"/>
          <w:sz w:val="28"/>
          <w:szCs w:val="28"/>
        </w:rPr>
      </w:pPr>
      <w:r>
        <w:rPr>
          <w:rFonts w:ascii="仿宋" w:eastAsia="仿宋" w:hAnsi="仿宋" w:cs="仿宋" w:hint="eastAsia"/>
          <w:bCs/>
          <w:color w:val="000000"/>
          <w:kern w:val="0"/>
          <w:sz w:val="28"/>
          <w:szCs w:val="28"/>
        </w:rPr>
        <w:t>政策解读专栏设置上，95.5%的评估对象均设置了政策解读栏目，但海口市美兰区未设置，不合格率占4.5%。</w:t>
      </w:r>
    </w:p>
    <w:p w:rsidR="00493C22" w:rsidRDefault="00BC4057">
      <w:pPr>
        <w:pStyle w:val="a8"/>
        <w:numPr>
          <w:ilvl w:val="0"/>
          <w:numId w:val="15"/>
        </w:numPr>
        <w:ind w:firstLineChars="0"/>
        <w:rPr>
          <w:rFonts w:ascii="仿宋" w:eastAsia="仿宋" w:hAnsi="仿宋" w:cs="仿宋"/>
          <w:bCs/>
          <w:color w:val="000000"/>
          <w:kern w:val="0"/>
          <w:sz w:val="28"/>
          <w:szCs w:val="28"/>
        </w:rPr>
      </w:pPr>
      <w:r>
        <w:rPr>
          <w:rFonts w:ascii="仿宋" w:eastAsia="仿宋" w:hAnsi="仿宋" w:cs="仿宋" w:hint="eastAsia"/>
          <w:bCs/>
          <w:color w:val="000000"/>
          <w:kern w:val="0"/>
          <w:sz w:val="28"/>
          <w:szCs w:val="28"/>
        </w:rPr>
        <w:t>解读形式方面，72.73%的评估对象的解读形式超过两种，但昌江县、澄迈县、海口市琼山区、屯昌县、万宁市、海口市秀英区6个</w:t>
      </w:r>
      <w:proofErr w:type="gramStart"/>
      <w:r>
        <w:rPr>
          <w:rFonts w:ascii="仿宋" w:eastAsia="仿宋" w:hAnsi="仿宋" w:cs="仿宋" w:hint="eastAsia"/>
          <w:bCs/>
          <w:color w:val="000000"/>
          <w:kern w:val="0"/>
          <w:sz w:val="28"/>
          <w:szCs w:val="28"/>
        </w:rPr>
        <w:t>区县未</w:t>
      </w:r>
      <w:proofErr w:type="gramEnd"/>
      <w:r>
        <w:rPr>
          <w:rFonts w:ascii="仿宋" w:eastAsia="仿宋" w:hAnsi="仿宋" w:cs="仿宋" w:hint="eastAsia"/>
          <w:bCs/>
          <w:color w:val="000000"/>
          <w:kern w:val="0"/>
          <w:sz w:val="28"/>
          <w:szCs w:val="28"/>
        </w:rPr>
        <w:t>利用网站、微博、微信、政务客户端等多媒体解读或解读的形式少于两种。</w:t>
      </w:r>
    </w:p>
    <w:p w:rsidR="00493C22" w:rsidRDefault="00BC4057">
      <w:pPr>
        <w:pStyle w:val="a8"/>
        <w:numPr>
          <w:ilvl w:val="0"/>
          <w:numId w:val="15"/>
        </w:numPr>
        <w:ind w:firstLineChars="0"/>
        <w:rPr>
          <w:rFonts w:ascii="仿宋" w:eastAsia="仿宋" w:hAnsi="仿宋" w:cs="仿宋"/>
          <w:bCs/>
          <w:color w:val="000000"/>
          <w:kern w:val="0"/>
          <w:sz w:val="28"/>
          <w:szCs w:val="28"/>
        </w:rPr>
      </w:pPr>
      <w:r>
        <w:rPr>
          <w:rFonts w:ascii="仿宋" w:eastAsia="仿宋" w:hAnsi="仿宋" w:cs="仿宋" w:hint="eastAsia"/>
          <w:bCs/>
          <w:color w:val="000000"/>
          <w:kern w:val="0"/>
          <w:sz w:val="28"/>
          <w:szCs w:val="28"/>
        </w:rPr>
        <w:t>市县主要领导解读政策方面，72.7%的评估对象在市县主要领导解读方面少于1次，只有白沙县、海口市、海口市美兰区、琼海县、三亚市、五指山市6个市县符合评估要求，合格率为27.3%。</w:t>
      </w:r>
    </w:p>
    <w:p w:rsidR="00493C22" w:rsidRDefault="00BC4057">
      <w:pPr>
        <w:pStyle w:val="a8"/>
        <w:numPr>
          <w:ilvl w:val="0"/>
          <w:numId w:val="15"/>
        </w:numPr>
        <w:ind w:firstLineChars="0"/>
        <w:rPr>
          <w:rFonts w:ascii="仿宋" w:eastAsia="仿宋" w:hAnsi="仿宋" w:cs="仿宋"/>
          <w:bCs/>
          <w:color w:val="000000"/>
          <w:kern w:val="0"/>
          <w:sz w:val="28"/>
          <w:szCs w:val="28"/>
        </w:rPr>
      </w:pPr>
      <w:r>
        <w:rPr>
          <w:rFonts w:ascii="仿宋" w:eastAsia="仿宋" w:hAnsi="仿宋" w:cs="仿宋" w:hint="eastAsia"/>
          <w:bCs/>
          <w:color w:val="000000"/>
          <w:kern w:val="0"/>
          <w:sz w:val="28"/>
          <w:szCs w:val="28"/>
        </w:rPr>
        <w:t>在省法制部门备案的文件全部公开方面，72.7%的评估对象在省法制部门备案的文件并不能达到全部公开，只有白沙县、海口市龙华区、海口市美兰区、海口市琼山区、琼中县、海口市秀英区6个区县符合评估要求，合格率为27.3%。</w:t>
      </w:r>
    </w:p>
    <w:p w:rsidR="00493C22" w:rsidRDefault="00BC4057">
      <w:pPr>
        <w:pStyle w:val="a8"/>
        <w:numPr>
          <w:ilvl w:val="0"/>
          <w:numId w:val="14"/>
        </w:numPr>
        <w:ind w:firstLineChars="0"/>
        <w:rPr>
          <w:rFonts w:ascii="仿宋" w:eastAsia="仿宋" w:hAnsi="仿宋" w:cs="仿宋"/>
          <w:bCs/>
          <w:color w:val="000000"/>
          <w:kern w:val="0"/>
          <w:sz w:val="28"/>
          <w:szCs w:val="28"/>
        </w:rPr>
      </w:pPr>
      <w:r>
        <w:rPr>
          <w:rFonts w:ascii="仿宋" w:eastAsia="仿宋" w:hAnsi="仿宋" w:cs="仿宋" w:hint="eastAsia"/>
          <w:bCs/>
          <w:color w:val="000000"/>
          <w:kern w:val="0"/>
          <w:sz w:val="28"/>
          <w:szCs w:val="28"/>
        </w:rPr>
        <w:t xml:space="preserve"> 回应关切</w:t>
      </w:r>
    </w:p>
    <w:p w:rsidR="00493C22" w:rsidRDefault="00BC4057">
      <w:pPr>
        <w:pStyle w:val="a8"/>
        <w:numPr>
          <w:ilvl w:val="0"/>
          <w:numId w:val="16"/>
        </w:numPr>
        <w:ind w:firstLineChars="0"/>
        <w:rPr>
          <w:rFonts w:ascii="仿宋" w:eastAsia="仿宋" w:hAnsi="仿宋" w:cs="仿宋"/>
          <w:bCs/>
          <w:color w:val="000000"/>
          <w:kern w:val="0"/>
          <w:sz w:val="28"/>
          <w:szCs w:val="28"/>
        </w:rPr>
      </w:pPr>
      <w:r>
        <w:rPr>
          <w:rFonts w:ascii="仿宋" w:eastAsia="仿宋" w:hAnsi="仿宋" w:cs="仿宋" w:hint="eastAsia"/>
          <w:bCs/>
          <w:color w:val="000000"/>
          <w:kern w:val="0"/>
          <w:sz w:val="28"/>
          <w:szCs w:val="28"/>
        </w:rPr>
        <w:t>回应关切专栏设置上，东方市、海口市、乐东县等20个市县未设置回应关切栏目，不合格率占90.9%。</w:t>
      </w:r>
    </w:p>
    <w:p w:rsidR="00493C22" w:rsidRDefault="00BC4057">
      <w:pPr>
        <w:pStyle w:val="a8"/>
        <w:numPr>
          <w:ilvl w:val="0"/>
          <w:numId w:val="16"/>
        </w:numPr>
        <w:ind w:firstLineChars="0"/>
        <w:rPr>
          <w:rFonts w:ascii="仿宋" w:eastAsia="仿宋" w:hAnsi="仿宋" w:cs="仿宋"/>
          <w:bCs/>
          <w:color w:val="000000"/>
          <w:kern w:val="0"/>
          <w:sz w:val="28"/>
          <w:szCs w:val="28"/>
        </w:rPr>
      </w:pPr>
      <w:r>
        <w:rPr>
          <w:rFonts w:ascii="仿宋" w:eastAsia="仿宋" w:hAnsi="仿宋" w:cs="仿宋" w:hint="eastAsia"/>
          <w:bCs/>
          <w:color w:val="000000"/>
          <w:kern w:val="0"/>
          <w:sz w:val="28"/>
          <w:szCs w:val="28"/>
        </w:rPr>
        <w:t>涉及公共利益、社会广泛关注的热点问题，各评估对象都能及时回应。</w:t>
      </w:r>
    </w:p>
    <w:p w:rsidR="00493C22" w:rsidRDefault="00BC4057">
      <w:pPr>
        <w:pStyle w:val="a8"/>
        <w:numPr>
          <w:ilvl w:val="0"/>
          <w:numId w:val="14"/>
        </w:numPr>
        <w:ind w:firstLineChars="0"/>
        <w:rPr>
          <w:rFonts w:ascii="仿宋" w:eastAsia="仿宋" w:hAnsi="仿宋" w:cs="仿宋"/>
          <w:bCs/>
          <w:color w:val="000000"/>
          <w:kern w:val="0"/>
          <w:sz w:val="28"/>
          <w:szCs w:val="28"/>
        </w:rPr>
      </w:pPr>
      <w:r>
        <w:rPr>
          <w:rFonts w:ascii="仿宋" w:eastAsia="仿宋" w:hAnsi="仿宋" w:cs="仿宋" w:hint="eastAsia"/>
          <w:bCs/>
          <w:color w:val="000000"/>
          <w:kern w:val="0"/>
          <w:sz w:val="28"/>
          <w:szCs w:val="28"/>
        </w:rPr>
        <w:t>热点回应与舆情分析</w:t>
      </w:r>
    </w:p>
    <w:p w:rsidR="00493C22" w:rsidRDefault="00BC4057">
      <w:pPr>
        <w:ind w:left="420" w:firstLine="300"/>
        <w:rPr>
          <w:rFonts w:ascii="仿宋" w:eastAsia="仿宋" w:hAnsi="仿宋" w:cs="仿宋"/>
          <w:bCs/>
          <w:color w:val="000000"/>
          <w:kern w:val="0"/>
          <w:sz w:val="28"/>
          <w:szCs w:val="28"/>
        </w:rPr>
      </w:pPr>
      <w:r>
        <w:rPr>
          <w:rFonts w:ascii="仿宋" w:eastAsia="仿宋" w:hAnsi="仿宋" w:cs="仿宋" w:hint="eastAsia"/>
          <w:bCs/>
          <w:color w:val="000000"/>
          <w:kern w:val="0"/>
          <w:sz w:val="28"/>
          <w:szCs w:val="28"/>
        </w:rPr>
        <w:t>在执行特别重大、重大突发事件方面，各评估对象都做到了最迟5小时内发布权威信息、24小时内举行新闻发布会的时限要求，落实了通报批评和约谈制度。</w:t>
      </w:r>
    </w:p>
    <w:p w:rsidR="00493C22" w:rsidRDefault="00493C22">
      <w:pPr>
        <w:ind w:firstLineChars="500" w:firstLine="1405"/>
        <w:jc w:val="center"/>
        <w:rPr>
          <w:rFonts w:ascii="仿宋" w:eastAsia="仿宋" w:hAnsi="仿宋" w:cs="仿宋"/>
          <w:b/>
          <w:sz w:val="28"/>
          <w:szCs w:val="28"/>
        </w:rPr>
      </w:pPr>
    </w:p>
    <w:p w:rsidR="00493C22" w:rsidRDefault="00493C22">
      <w:pPr>
        <w:ind w:firstLineChars="500" w:firstLine="1405"/>
        <w:jc w:val="center"/>
        <w:rPr>
          <w:rFonts w:ascii="仿宋" w:eastAsia="仿宋" w:hAnsi="仿宋" w:cs="仿宋"/>
          <w:b/>
          <w:sz w:val="28"/>
          <w:szCs w:val="28"/>
        </w:rPr>
      </w:pPr>
    </w:p>
    <w:p w:rsidR="00493C22" w:rsidRDefault="00493C22">
      <w:pPr>
        <w:ind w:firstLineChars="500" w:firstLine="1405"/>
        <w:jc w:val="center"/>
        <w:rPr>
          <w:rFonts w:ascii="仿宋" w:eastAsia="仿宋" w:hAnsi="仿宋" w:cs="仿宋"/>
          <w:b/>
          <w:sz w:val="28"/>
          <w:szCs w:val="28"/>
        </w:rPr>
      </w:pPr>
    </w:p>
    <w:p w:rsidR="00493C22" w:rsidRDefault="00493C22">
      <w:pPr>
        <w:rPr>
          <w:rFonts w:ascii="仿宋" w:eastAsia="仿宋" w:hAnsi="仿宋" w:cs="仿宋"/>
          <w:b/>
          <w:sz w:val="28"/>
          <w:szCs w:val="28"/>
        </w:rPr>
      </w:pPr>
    </w:p>
    <w:p w:rsidR="00493C22" w:rsidRDefault="001E4BFA" w:rsidP="001E4BFA">
      <w:pPr>
        <w:ind w:right="840" w:firstLineChars="700" w:firstLine="2249"/>
        <w:jc w:val="right"/>
        <w:rPr>
          <w:rFonts w:ascii="仿宋" w:eastAsia="仿宋" w:hAnsi="仿宋" w:cs="仿宋"/>
          <w:b/>
          <w:sz w:val="32"/>
          <w:szCs w:val="32"/>
        </w:rPr>
      </w:pPr>
      <w:bookmarkStart w:id="3" w:name="_GoBack"/>
      <w:r>
        <w:rPr>
          <w:rFonts w:ascii="仿宋" w:eastAsia="仿宋" w:hAnsi="仿宋" w:cs="仿宋" w:hint="eastAsia"/>
          <w:b/>
          <w:sz w:val="32"/>
          <w:szCs w:val="32"/>
        </w:rPr>
        <w:t>海南大学法学院法治政府</w:t>
      </w:r>
      <w:proofErr w:type="gramStart"/>
      <w:r>
        <w:rPr>
          <w:rFonts w:ascii="仿宋" w:eastAsia="仿宋" w:hAnsi="仿宋" w:cs="仿宋" w:hint="eastAsia"/>
          <w:b/>
          <w:sz w:val="32"/>
          <w:szCs w:val="32"/>
        </w:rPr>
        <w:t>建设工</w:t>
      </w:r>
      <w:r w:rsidR="00BC4057">
        <w:rPr>
          <w:rFonts w:ascii="仿宋" w:eastAsia="仿宋" w:hAnsi="仿宋" w:cs="仿宋" w:hint="eastAsia"/>
          <w:b/>
          <w:sz w:val="32"/>
          <w:szCs w:val="32"/>
        </w:rPr>
        <w:t>目组</w:t>
      </w:r>
      <w:proofErr w:type="gramEnd"/>
      <w:r w:rsidR="00BC4057">
        <w:rPr>
          <w:rFonts w:ascii="仿宋" w:eastAsia="仿宋" w:hAnsi="仿宋" w:cs="仿宋" w:hint="eastAsia"/>
          <w:b/>
          <w:sz w:val="32"/>
          <w:szCs w:val="32"/>
        </w:rPr>
        <w:t xml:space="preserve">  </w:t>
      </w:r>
    </w:p>
    <w:p w:rsidR="00493C22" w:rsidRDefault="00BC4057" w:rsidP="001E4BFA">
      <w:pPr>
        <w:ind w:right="1284" w:firstLineChars="700" w:firstLine="2249"/>
        <w:rPr>
          <w:rFonts w:ascii="仿宋" w:eastAsia="仿宋" w:hAnsi="仿宋" w:cs="仿宋"/>
          <w:b/>
          <w:sz w:val="32"/>
          <w:szCs w:val="32"/>
        </w:rPr>
      </w:pPr>
      <w:r>
        <w:rPr>
          <w:rFonts w:ascii="仿宋" w:eastAsia="仿宋" w:hAnsi="仿宋" w:cs="仿宋" w:hint="eastAsia"/>
          <w:b/>
          <w:sz w:val="32"/>
          <w:szCs w:val="32"/>
        </w:rPr>
        <w:t xml:space="preserve">   </w:t>
      </w:r>
      <w:r w:rsidR="001E4BFA">
        <w:rPr>
          <w:rFonts w:ascii="仿宋" w:eastAsia="仿宋" w:hAnsi="仿宋" w:cs="仿宋" w:hint="eastAsia"/>
          <w:b/>
          <w:sz w:val="32"/>
          <w:szCs w:val="32"/>
        </w:rPr>
        <w:t xml:space="preserve">    </w:t>
      </w:r>
      <w:r>
        <w:rPr>
          <w:rFonts w:ascii="仿宋" w:eastAsia="仿宋" w:hAnsi="仿宋" w:cs="仿宋" w:hint="eastAsia"/>
          <w:b/>
          <w:sz w:val="32"/>
          <w:szCs w:val="32"/>
        </w:rPr>
        <w:t xml:space="preserve">   2018年4月26日</w:t>
      </w:r>
      <w:bookmarkEnd w:id="3"/>
    </w:p>
    <w:p w:rsidR="00493C22" w:rsidRDefault="00493C22">
      <w:pPr>
        <w:ind w:firstLine="420"/>
        <w:rPr>
          <w:rFonts w:cs="仿宋"/>
          <w:bCs/>
          <w:color w:val="000000"/>
          <w:kern w:val="0"/>
          <w:sz w:val="28"/>
          <w:szCs w:val="28"/>
        </w:rPr>
      </w:pPr>
    </w:p>
    <w:p w:rsidR="00493C22" w:rsidRDefault="00493C22">
      <w:pPr>
        <w:ind w:firstLine="420"/>
        <w:rPr>
          <w:rFonts w:cs="仿宋"/>
          <w:bCs/>
          <w:color w:val="000000"/>
          <w:kern w:val="0"/>
          <w:sz w:val="28"/>
          <w:szCs w:val="28"/>
        </w:rPr>
      </w:pPr>
    </w:p>
    <w:p w:rsidR="00493C22" w:rsidRDefault="00493C22">
      <w:pPr>
        <w:rPr>
          <w:rFonts w:cs="仿宋"/>
          <w:bCs/>
          <w:color w:val="000000"/>
          <w:kern w:val="0"/>
          <w:sz w:val="28"/>
          <w:szCs w:val="28"/>
        </w:rPr>
      </w:pPr>
    </w:p>
    <w:sectPr w:rsidR="00493C22" w:rsidSect="00493C2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46E2" w:rsidRDefault="001A46E2" w:rsidP="001E4BFA">
      <w:r>
        <w:separator/>
      </w:r>
    </w:p>
  </w:endnote>
  <w:endnote w:type="continuationSeparator" w:id="0">
    <w:p w:rsidR="001A46E2" w:rsidRDefault="001A46E2" w:rsidP="001E4B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宋体"/>
    <w:charset w:val="86"/>
    <w:family w:val="auto"/>
    <w:pitch w:val="default"/>
    <w:sig w:usb0="00000000" w:usb1="00000000"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Light">
    <w:altName w:val="宋体"/>
    <w:panose1 w:val="00000000000000000000"/>
    <w:charset w:val="86"/>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46E2" w:rsidRDefault="001A46E2" w:rsidP="001E4BFA">
      <w:r>
        <w:separator/>
      </w:r>
    </w:p>
  </w:footnote>
  <w:footnote w:type="continuationSeparator" w:id="0">
    <w:p w:rsidR="001A46E2" w:rsidRDefault="001A46E2" w:rsidP="001E4BF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74813"/>
    <w:multiLevelType w:val="multilevel"/>
    <w:tmpl w:val="11774813"/>
    <w:lvl w:ilvl="0">
      <w:start w:val="1"/>
      <w:numFmt w:val="decimal"/>
      <w:lvlText w:val="%1."/>
      <w:lvlJc w:val="left"/>
      <w:pPr>
        <w:ind w:left="1200" w:hanging="36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
    <w:nsid w:val="16597D72"/>
    <w:multiLevelType w:val="multilevel"/>
    <w:tmpl w:val="16597D72"/>
    <w:lvl w:ilvl="0">
      <w:start w:val="1"/>
      <w:numFmt w:val="decimal"/>
      <w:lvlText w:val="%1."/>
      <w:lvlJc w:val="left"/>
      <w:pPr>
        <w:ind w:left="1200" w:hanging="36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
    <w:nsid w:val="17A415CA"/>
    <w:multiLevelType w:val="multilevel"/>
    <w:tmpl w:val="17A415CA"/>
    <w:lvl w:ilvl="0">
      <w:start w:val="1"/>
      <w:numFmt w:val="japaneseCounting"/>
      <w:lvlText w:val="（%1）"/>
      <w:lvlJc w:val="left"/>
      <w:pPr>
        <w:ind w:left="1548" w:hanging="828"/>
      </w:pPr>
      <w:rPr>
        <w:rFont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3">
    <w:nsid w:val="31152501"/>
    <w:multiLevelType w:val="multilevel"/>
    <w:tmpl w:val="31152501"/>
    <w:lvl w:ilvl="0">
      <w:start w:val="1"/>
      <w:numFmt w:val="decimal"/>
      <w:lvlText w:val="%1."/>
      <w:lvlJc w:val="left"/>
      <w:pPr>
        <w:ind w:left="1212" w:hanging="492"/>
      </w:pPr>
      <w:rPr>
        <w:rFont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4">
    <w:nsid w:val="3E592EC6"/>
    <w:multiLevelType w:val="multilevel"/>
    <w:tmpl w:val="3E592EC6"/>
    <w:lvl w:ilvl="0">
      <w:start w:val="1"/>
      <w:numFmt w:val="decimal"/>
      <w:lvlText w:val="%1."/>
      <w:lvlJc w:val="left"/>
      <w:pPr>
        <w:ind w:left="1104" w:hanging="384"/>
      </w:pPr>
      <w:rPr>
        <w:rFont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5">
    <w:nsid w:val="5236169D"/>
    <w:multiLevelType w:val="multilevel"/>
    <w:tmpl w:val="5236169D"/>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nsid w:val="534C4DCD"/>
    <w:multiLevelType w:val="multilevel"/>
    <w:tmpl w:val="534C4DCD"/>
    <w:lvl w:ilvl="0">
      <w:start w:val="1"/>
      <w:numFmt w:val="decimal"/>
      <w:lvlText w:val="%1."/>
      <w:lvlJc w:val="left"/>
      <w:pPr>
        <w:ind w:left="1260" w:hanging="4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7">
    <w:nsid w:val="560E17B7"/>
    <w:multiLevelType w:val="multilevel"/>
    <w:tmpl w:val="560E17B7"/>
    <w:lvl w:ilvl="0">
      <w:start w:val="1"/>
      <w:numFmt w:val="decimal"/>
      <w:lvlText w:val="%1."/>
      <w:lvlJc w:val="left"/>
      <w:pPr>
        <w:ind w:left="1200" w:hanging="36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8">
    <w:nsid w:val="57F05B60"/>
    <w:multiLevelType w:val="multilevel"/>
    <w:tmpl w:val="57F05B60"/>
    <w:lvl w:ilvl="0">
      <w:start w:val="1"/>
      <w:numFmt w:val="decimal"/>
      <w:lvlText w:val="%1."/>
      <w:lvlJc w:val="left"/>
      <w:pPr>
        <w:ind w:left="1080" w:hanging="360"/>
      </w:pPr>
      <w:rPr>
        <w:rFont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9">
    <w:nsid w:val="5C1C64AC"/>
    <w:multiLevelType w:val="multilevel"/>
    <w:tmpl w:val="5C1C64AC"/>
    <w:lvl w:ilvl="0">
      <w:start w:val="1"/>
      <w:numFmt w:val="japaneseCounting"/>
      <w:lvlText w:val="（%1）"/>
      <w:lvlJc w:val="left"/>
      <w:pPr>
        <w:ind w:left="1548" w:hanging="828"/>
      </w:pPr>
      <w:rPr>
        <w:rFont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10">
    <w:nsid w:val="62854AEB"/>
    <w:multiLevelType w:val="multilevel"/>
    <w:tmpl w:val="62854AEB"/>
    <w:lvl w:ilvl="0">
      <w:start w:val="1"/>
      <w:numFmt w:val="decimal"/>
      <w:lvlText w:val="%1."/>
      <w:lvlJc w:val="left"/>
      <w:pPr>
        <w:ind w:left="1080" w:hanging="360"/>
      </w:pPr>
      <w:rPr>
        <w:rFont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11">
    <w:nsid w:val="727D7623"/>
    <w:multiLevelType w:val="multilevel"/>
    <w:tmpl w:val="727D7623"/>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73765047"/>
    <w:multiLevelType w:val="multilevel"/>
    <w:tmpl w:val="73765047"/>
    <w:lvl w:ilvl="0">
      <w:start w:val="1"/>
      <w:numFmt w:val="decimal"/>
      <w:lvlText w:val="%1."/>
      <w:lvlJc w:val="left"/>
      <w:pPr>
        <w:ind w:left="1200" w:hanging="36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3">
    <w:nsid w:val="77E55668"/>
    <w:multiLevelType w:val="multilevel"/>
    <w:tmpl w:val="77E55668"/>
    <w:lvl w:ilvl="0">
      <w:start w:val="1"/>
      <w:numFmt w:val="decimal"/>
      <w:lvlText w:val="%1."/>
      <w:lvlJc w:val="left"/>
      <w:pPr>
        <w:ind w:left="1080" w:hanging="360"/>
      </w:pPr>
      <w:rPr>
        <w:rFont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14">
    <w:nsid w:val="7AC10B2E"/>
    <w:multiLevelType w:val="multilevel"/>
    <w:tmpl w:val="7AC10B2E"/>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5">
    <w:nsid w:val="7D1C5E2B"/>
    <w:multiLevelType w:val="multilevel"/>
    <w:tmpl w:val="7D1C5E2B"/>
    <w:lvl w:ilvl="0">
      <w:start w:val="1"/>
      <w:numFmt w:val="japaneseCounting"/>
      <w:lvlText w:val="（%1）"/>
      <w:lvlJc w:val="left"/>
      <w:pPr>
        <w:ind w:left="1548" w:hanging="828"/>
      </w:pPr>
      <w:rPr>
        <w:rFont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num w:numId="1">
    <w:abstractNumId w:val="11"/>
  </w:num>
  <w:num w:numId="2">
    <w:abstractNumId w:val="15"/>
  </w:num>
  <w:num w:numId="3">
    <w:abstractNumId w:val="10"/>
  </w:num>
  <w:num w:numId="4">
    <w:abstractNumId w:val="0"/>
  </w:num>
  <w:num w:numId="5">
    <w:abstractNumId w:val="8"/>
  </w:num>
  <w:num w:numId="6">
    <w:abstractNumId w:val="3"/>
  </w:num>
  <w:num w:numId="7">
    <w:abstractNumId w:val="4"/>
  </w:num>
  <w:num w:numId="8">
    <w:abstractNumId w:val="6"/>
  </w:num>
  <w:num w:numId="9">
    <w:abstractNumId w:val="12"/>
  </w:num>
  <w:num w:numId="10">
    <w:abstractNumId w:val="1"/>
  </w:num>
  <w:num w:numId="11">
    <w:abstractNumId w:val="7"/>
  </w:num>
  <w:num w:numId="12">
    <w:abstractNumId w:val="13"/>
  </w:num>
  <w:num w:numId="13">
    <w:abstractNumId w:val="9"/>
  </w:num>
  <w:num w:numId="14">
    <w:abstractNumId w:val="2"/>
  </w:num>
  <w:num w:numId="15">
    <w:abstractNumId w:val="5"/>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E4AFF"/>
    <w:rsid w:val="00007494"/>
    <w:rsid w:val="00011676"/>
    <w:rsid w:val="000126AF"/>
    <w:rsid w:val="000518F9"/>
    <w:rsid w:val="00053098"/>
    <w:rsid w:val="000A00FF"/>
    <w:rsid w:val="000A525B"/>
    <w:rsid w:val="000E4AFF"/>
    <w:rsid w:val="000E6CE7"/>
    <w:rsid w:val="000F13AD"/>
    <w:rsid w:val="001055BF"/>
    <w:rsid w:val="001119EF"/>
    <w:rsid w:val="0011398B"/>
    <w:rsid w:val="00157E42"/>
    <w:rsid w:val="00184368"/>
    <w:rsid w:val="00193760"/>
    <w:rsid w:val="001A46E2"/>
    <w:rsid w:val="001E4BFA"/>
    <w:rsid w:val="0020490C"/>
    <w:rsid w:val="002057C9"/>
    <w:rsid w:val="0022191A"/>
    <w:rsid w:val="00265144"/>
    <w:rsid w:val="00276842"/>
    <w:rsid w:val="002847A4"/>
    <w:rsid w:val="0029343E"/>
    <w:rsid w:val="002A06B0"/>
    <w:rsid w:val="002C7B35"/>
    <w:rsid w:val="002D2C35"/>
    <w:rsid w:val="002E0FC4"/>
    <w:rsid w:val="00302592"/>
    <w:rsid w:val="003112DE"/>
    <w:rsid w:val="003113F3"/>
    <w:rsid w:val="00352D8A"/>
    <w:rsid w:val="00356DBF"/>
    <w:rsid w:val="003A3B02"/>
    <w:rsid w:val="003B001C"/>
    <w:rsid w:val="004207C6"/>
    <w:rsid w:val="00453AC3"/>
    <w:rsid w:val="004575AF"/>
    <w:rsid w:val="00493C22"/>
    <w:rsid w:val="004E51F8"/>
    <w:rsid w:val="00501244"/>
    <w:rsid w:val="00571415"/>
    <w:rsid w:val="005C50E5"/>
    <w:rsid w:val="005C66CC"/>
    <w:rsid w:val="00611CE2"/>
    <w:rsid w:val="00624F15"/>
    <w:rsid w:val="0064018B"/>
    <w:rsid w:val="0068543E"/>
    <w:rsid w:val="00692C77"/>
    <w:rsid w:val="006A56FE"/>
    <w:rsid w:val="006E2DDA"/>
    <w:rsid w:val="006E60E8"/>
    <w:rsid w:val="00722D48"/>
    <w:rsid w:val="0075528F"/>
    <w:rsid w:val="00755F23"/>
    <w:rsid w:val="00783450"/>
    <w:rsid w:val="00785581"/>
    <w:rsid w:val="00790F75"/>
    <w:rsid w:val="007D5E2F"/>
    <w:rsid w:val="007F273F"/>
    <w:rsid w:val="00825D77"/>
    <w:rsid w:val="00895D01"/>
    <w:rsid w:val="008A57F0"/>
    <w:rsid w:val="008B11A2"/>
    <w:rsid w:val="008B7C2F"/>
    <w:rsid w:val="00911C3D"/>
    <w:rsid w:val="009164C8"/>
    <w:rsid w:val="00933CB5"/>
    <w:rsid w:val="00972009"/>
    <w:rsid w:val="00975C9F"/>
    <w:rsid w:val="00976A57"/>
    <w:rsid w:val="00982320"/>
    <w:rsid w:val="00997FE8"/>
    <w:rsid w:val="009B60FB"/>
    <w:rsid w:val="009C5143"/>
    <w:rsid w:val="009D404D"/>
    <w:rsid w:val="009F60D4"/>
    <w:rsid w:val="00A1349F"/>
    <w:rsid w:val="00A621DC"/>
    <w:rsid w:val="00A71B1D"/>
    <w:rsid w:val="00AC70AC"/>
    <w:rsid w:val="00AD2622"/>
    <w:rsid w:val="00AE44A9"/>
    <w:rsid w:val="00AF06EF"/>
    <w:rsid w:val="00B0697A"/>
    <w:rsid w:val="00B517B6"/>
    <w:rsid w:val="00B86220"/>
    <w:rsid w:val="00BC0901"/>
    <w:rsid w:val="00BC159E"/>
    <w:rsid w:val="00BC4057"/>
    <w:rsid w:val="00BE134E"/>
    <w:rsid w:val="00C301BE"/>
    <w:rsid w:val="00C70CAB"/>
    <w:rsid w:val="00C87E36"/>
    <w:rsid w:val="00CB29CE"/>
    <w:rsid w:val="00CC10ED"/>
    <w:rsid w:val="00D0418E"/>
    <w:rsid w:val="00D15EF5"/>
    <w:rsid w:val="00D17EF9"/>
    <w:rsid w:val="00D6693F"/>
    <w:rsid w:val="00D811E9"/>
    <w:rsid w:val="00DC4355"/>
    <w:rsid w:val="00DF7A9B"/>
    <w:rsid w:val="00E06A06"/>
    <w:rsid w:val="00E544D7"/>
    <w:rsid w:val="00E739FD"/>
    <w:rsid w:val="00E771D7"/>
    <w:rsid w:val="00F20E72"/>
    <w:rsid w:val="00F416AA"/>
    <w:rsid w:val="00F43541"/>
    <w:rsid w:val="00F440E7"/>
    <w:rsid w:val="00F7693A"/>
    <w:rsid w:val="00F83D8D"/>
    <w:rsid w:val="00F84232"/>
    <w:rsid w:val="00F879EF"/>
    <w:rsid w:val="00FB77E0"/>
    <w:rsid w:val="00FE2CC0"/>
    <w:rsid w:val="74820899"/>
    <w:rsid w:val="7C30635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3C2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rsid w:val="00493C22"/>
    <w:rPr>
      <w:b/>
      <w:bCs/>
    </w:rPr>
  </w:style>
  <w:style w:type="paragraph" w:styleId="a4">
    <w:name w:val="annotation text"/>
    <w:basedOn w:val="a"/>
    <w:link w:val="Char0"/>
    <w:uiPriority w:val="99"/>
    <w:semiHidden/>
    <w:unhideWhenUsed/>
    <w:rsid w:val="00493C22"/>
    <w:pPr>
      <w:jc w:val="left"/>
    </w:pPr>
  </w:style>
  <w:style w:type="paragraph" w:styleId="a5">
    <w:name w:val="Balloon Text"/>
    <w:basedOn w:val="a"/>
    <w:link w:val="Char1"/>
    <w:uiPriority w:val="99"/>
    <w:semiHidden/>
    <w:unhideWhenUsed/>
    <w:rsid w:val="00493C22"/>
    <w:rPr>
      <w:sz w:val="18"/>
      <w:szCs w:val="18"/>
    </w:rPr>
  </w:style>
  <w:style w:type="character" w:styleId="a6">
    <w:name w:val="annotation reference"/>
    <w:basedOn w:val="a0"/>
    <w:uiPriority w:val="99"/>
    <w:semiHidden/>
    <w:unhideWhenUsed/>
    <w:rsid w:val="00493C22"/>
    <w:rPr>
      <w:sz w:val="21"/>
      <w:szCs w:val="21"/>
    </w:rPr>
  </w:style>
  <w:style w:type="table" w:styleId="a7">
    <w:name w:val="Table Grid"/>
    <w:basedOn w:val="a1"/>
    <w:uiPriority w:val="39"/>
    <w:qFormat/>
    <w:rsid w:val="00493C2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99"/>
    <w:qFormat/>
    <w:rsid w:val="00493C22"/>
    <w:pPr>
      <w:ind w:firstLineChars="200" w:firstLine="420"/>
    </w:pPr>
  </w:style>
  <w:style w:type="character" w:customStyle="1" w:styleId="Char0">
    <w:name w:val="批注文字 Char"/>
    <w:basedOn w:val="a0"/>
    <w:link w:val="a4"/>
    <w:uiPriority w:val="99"/>
    <w:semiHidden/>
    <w:rsid w:val="00493C22"/>
  </w:style>
  <w:style w:type="character" w:customStyle="1" w:styleId="Char">
    <w:name w:val="批注主题 Char"/>
    <w:basedOn w:val="Char0"/>
    <w:link w:val="a3"/>
    <w:uiPriority w:val="99"/>
    <w:semiHidden/>
    <w:rsid w:val="00493C22"/>
    <w:rPr>
      <w:b/>
      <w:bCs/>
    </w:rPr>
  </w:style>
  <w:style w:type="character" w:customStyle="1" w:styleId="Char1">
    <w:name w:val="批注框文本 Char"/>
    <w:basedOn w:val="a0"/>
    <w:link w:val="a5"/>
    <w:uiPriority w:val="99"/>
    <w:semiHidden/>
    <w:rsid w:val="00493C22"/>
    <w:rPr>
      <w:sz w:val="18"/>
      <w:szCs w:val="18"/>
    </w:rPr>
  </w:style>
  <w:style w:type="paragraph" w:styleId="a9">
    <w:name w:val="header"/>
    <w:basedOn w:val="a"/>
    <w:link w:val="Char2"/>
    <w:uiPriority w:val="99"/>
    <w:semiHidden/>
    <w:unhideWhenUsed/>
    <w:rsid w:val="001E4BFA"/>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9"/>
    <w:uiPriority w:val="99"/>
    <w:semiHidden/>
    <w:rsid w:val="001E4BFA"/>
    <w:rPr>
      <w:kern w:val="2"/>
      <w:sz w:val="18"/>
      <w:szCs w:val="18"/>
    </w:rPr>
  </w:style>
  <w:style w:type="paragraph" w:styleId="aa">
    <w:name w:val="footer"/>
    <w:basedOn w:val="a"/>
    <w:link w:val="Char3"/>
    <w:uiPriority w:val="99"/>
    <w:semiHidden/>
    <w:unhideWhenUsed/>
    <w:rsid w:val="001E4BFA"/>
    <w:pPr>
      <w:tabs>
        <w:tab w:val="center" w:pos="4153"/>
        <w:tab w:val="right" w:pos="8306"/>
      </w:tabs>
      <w:snapToGrid w:val="0"/>
      <w:jc w:val="left"/>
    </w:pPr>
    <w:rPr>
      <w:sz w:val="18"/>
      <w:szCs w:val="18"/>
    </w:rPr>
  </w:style>
  <w:style w:type="character" w:customStyle="1" w:styleId="Char3">
    <w:name w:val="页脚 Char"/>
    <w:basedOn w:val="a0"/>
    <w:link w:val="aa"/>
    <w:uiPriority w:val="99"/>
    <w:semiHidden/>
    <w:rsid w:val="001E4BFA"/>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680</Words>
  <Characters>3879</Characters>
  <Application>Microsoft Office Word</Application>
  <DocSecurity>0</DocSecurity>
  <Lines>32</Lines>
  <Paragraphs>9</Paragraphs>
  <ScaleCrop>false</ScaleCrop>
  <Company>Microsoft</Company>
  <LinksUpToDate>false</LinksUpToDate>
  <CharactersWithSpaces>4550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 chen</dc:creator>
  <cp:lastModifiedBy>hp</cp:lastModifiedBy>
  <cp:revision>91</cp:revision>
  <dcterms:created xsi:type="dcterms:W3CDTF">2018-04-01T14:04:00Z</dcterms:created>
  <dcterms:modified xsi:type="dcterms:W3CDTF">2018-06-01T10:34:00Z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