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C45" w:rsidRDefault="000D6EE9" w:rsidP="000D6EE9">
      <w:pPr>
        <w:spacing w:beforeLines="50" w:afterLines="50" w:line="360" w:lineRule="auto"/>
        <w:jc w:val="center"/>
        <w:rPr>
          <w:rFonts w:ascii="仿宋" w:eastAsia="仿宋" w:hAnsi="仿宋" w:cs="仿宋"/>
          <w:bCs/>
          <w:sz w:val="36"/>
        </w:rPr>
      </w:pPr>
      <w:r>
        <w:rPr>
          <w:rFonts w:ascii="仿宋" w:eastAsia="仿宋" w:hAnsi="仿宋" w:cs="仿宋" w:hint="eastAsia"/>
          <w:bCs/>
          <w:sz w:val="36"/>
        </w:rPr>
        <w:t>海南省</w:t>
      </w:r>
      <w:r w:rsidR="00E9710F">
        <w:rPr>
          <w:rFonts w:ascii="仿宋" w:eastAsia="仿宋" w:hAnsi="仿宋" w:cs="仿宋" w:hint="eastAsia"/>
          <w:bCs/>
          <w:sz w:val="36"/>
        </w:rPr>
        <w:t>2017年</w:t>
      </w:r>
      <w:r>
        <w:rPr>
          <w:rFonts w:ascii="仿宋" w:eastAsia="仿宋" w:hAnsi="仿宋" w:cs="仿宋" w:hint="eastAsia"/>
          <w:bCs/>
          <w:sz w:val="36"/>
        </w:rPr>
        <w:t>政府部门</w:t>
      </w:r>
      <w:r w:rsidR="00E9710F">
        <w:rPr>
          <w:rFonts w:ascii="仿宋" w:eastAsia="仿宋" w:hAnsi="仿宋" w:cs="仿宋" w:hint="eastAsia"/>
          <w:bCs/>
          <w:sz w:val="36"/>
        </w:rPr>
        <w:t>政务公开第三方评估报告</w:t>
      </w:r>
    </w:p>
    <w:p w:rsidR="00381C45" w:rsidRDefault="00E9710F">
      <w:pPr>
        <w:ind w:firstLineChars="200" w:firstLine="560"/>
        <w:jc w:val="left"/>
        <w:rPr>
          <w:rFonts w:ascii="仿宋" w:eastAsia="仿宋" w:hAnsi="仿宋" w:cs="仿宋"/>
          <w:bCs/>
          <w:sz w:val="28"/>
          <w:szCs w:val="28"/>
        </w:rPr>
      </w:pPr>
      <w:r>
        <w:rPr>
          <w:rFonts w:ascii="仿宋" w:eastAsia="仿宋" w:hAnsi="仿宋" w:cs="仿宋" w:hint="eastAsia"/>
          <w:bCs/>
          <w:sz w:val="28"/>
          <w:szCs w:val="28"/>
        </w:rPr>
        <w:t>受海南省人民政府办公厅委托，海南大学法学院法治政府建设工程项目组，通过查阅评估对象网站及验证等方式，于2017年11月10日至2017年12月31日对海南省政府37个工作部门及直属单位2017年政务公开工作进行了第三方评估。现将总体情况报告如下。</w:t>
      </w:r>
    </w:p>
    <w:p w:rsidR="00381C45" w:rsidRDefault="00E9710F">
      <w:pPr>
        <w:ind w:firstLineChars="500" w:firstLine="1405"/>
        <w:jc w:val="left"/>
        <w:rPr>
          <w:rFonts w:ascii="仿宋" w:eastAsia="仿宋" w:hAnsi="仿宋" w:cs="仿宋"/>
          <w:b/>
          <w:sz w:val="28"/>
          <w:szCs w:val="28"/>
        </w:rPr>
      </w:pPr>
      <w:r>
        <w:rPr>
          <w:rFonts w:ascii="仿宋" w:eastAsia="仿宋" w:hAnsi="仿宋" w:cs="仿宋" w:hint="eastAsia"/>
          <w:b/>
          <w:sz w:val="28"/>
          <w:szCs w:val="28"/>
        </w:rPr>
        <w:t>第一部分  评估总体情况</w:t>
      </w:r>
    </w:p>
    <w:p w:rsidR="00381C45" w:rsidRDefault="00E9710F">
      <w:pPr>
        <w:rPr>
          <w:rFonts w:ascii="仿宋" w:eastAsia="仿宋" w:hAnsi="仿宋" w:cs="仿宋"/>
          <w:bCs/>
          <w:color w:val="000000"/>
          <w:kern w:val="0"/>
          <w:sz w:val="28"/>
          <w:szCs w:val="28"/>
        </w:rPr>
      </w:pPr>
      <w:r>
        <w:rPr>
          <w:rFonts w:ascii="仿宋" w:eastAsia="仿宋" w:hAnsi="仿宋" w:cs="仿宋" w:hint="eastAsia"/>
          <w:b/>
          <w:color w:val="000000"/>
          <w:kern w:val="0"/>
          <w:sz w:val="28"/>
          <w:szCs w:val="28"/>
        </w:rPr>
        <w:t>一．主动公开方面</w:t>
      </w:r>
    </w:p>
    <w:p w:rsidR="00381C45" w:rsidRDefault="00E9710F">
      <w:pPr>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（一）基础信息公开方面</w:t>
      </w:r>
    </w:p>
    <w:p w:rsidR="00381C45" w:rsidRDefault="00E9710F">
      <w:pPr>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1.在部门基本概况公开方面，91.89%的评估对象符合要求，但安监局，工商局，水务厅3个部门存在要素缺失。</w:t>
      </w:r>
    </w:p>
    <w:p w:rsidR="00381C45" w:rsidRDefault="00E9710F">
      <w:pPr>
        <w:pStyle w:val="a6"/>
        <w:ind w:firstLineChars="0" w:firstLine="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2.政策文件公布方面，所有部门均符合要求。</w:t>
      </w:r>
    </w:p>
    <w:p w:rsidR="00381C45" w:rsidRDefault="00E9710F">
      <w:pPr>
        <w:pStyle w:val="a6"/>
        <w:ind w:firstLineChars="0" w:firstLine="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3.在政府信息公开指南方面，符合要求的占86.49%，但公安厅、公积金管理局、海洋渔业厅、文体厅5个部门存在要素缺失。</w:t>
      </w:r>
    </w:p>
    <w:p w:rsidR="00381C45" w:rsidRDefault="00E9710F">
      <w:pPr>
        <w:pStyle w:val="a6"/>
        <w:ind w:firstLineChars="0" w:firstLine="0"/>
        <w:rPr>
          <w:rFonts w:ascii="仿宋" w:eastAsia="仿宋" w:hAnsi="仿宋" w:cs="仿宋"/>
          <w:bCs/>
          <w:sz w:val="28"/>
          <w:szCs w:val="28"/>
        </w:rPr>
      </w:pPr>
      <w:r>
        <w:rPr>
          <w:rFonts w:ascii="仿宋" w:eastAsia="仿宋" w:hAnsi="仿宋" w:cs="仿宋" w:hint="eastAsia"/>
          <w:bCs/>
          <w:color w:val="000000"/>
          <w:kern w:val="0"/>
          <w:sz w:val="28"/>
          <w:szCs w:val="28"/>
        </w:rPr>
        <w:t>4.政府信息公开年报公开方面，78.38%符合要求，要素缺失或者逾期公开的有财政厅、工商局、公积金管理局、海洋渔业厅、科技厅、旅游委、农业厅、文体厅、8个部门。</w:t>
      </w:r>
    </w:p>
    <w:p w:rsidR="00381C45" w:rsidRDefault="00E9710F">
      <w:pPr>
        <w:pStyle w:val="a6"/>
        <w:ind w:firstLineChars="0" w:firstLine="0"/>
        <w:rPr>
          <w:rFonts w:ascii="仿宋" w:eastAsia="仿宋" w:hAnsi="仿宋" w:cs="仿宋"/>
          <w:bCs/>
          <w:sz w:val="28"/>
          <w:szCs w:val="28"/>
        </w:rPr>
      </w:pPr>
      <w:r>
        <w:rPr>
          <w:rFonts w:ascii="仿宋" w:eastAsia="仿宋" w:hAnsi="仿宋" w:cs="仿宋" w:hint="eastAsia"/>
          <w:bCs/>
          <w:color w:val="000000"/>
          <w:kern w:val="0"/>
          <w:sz w:val="28"/>
          <w:szCs w:val="28"/>
        </w:rPr>
        <w:t>5.在设置重点领域信息公开栏目方面，设置重点领域信息公开栏目的仅有</w:t>
      </w:r>
      <w:r>
        <w:rPr>
          <w:rFonts w:ascii="仿宋" w:eastAsia="仿宋" w:hAnsi="仿宋" w:cs="仿宋" w:hint="eastAsia"/>
          <w:bCs/>
          <w:sz w:val="28"/>
          <w:szCs w:val="28"/>
        </w:rPr>
        <w:t xml:space="preserve"> 国资委、教育厅、司法厅、政务服务中心4个部门，</w:t>
      </w:r>
      <w:r>
        <w:rPr>
          <w:rFonts w:ascii="仿宋" w:eastAsia="仿宋" w:hAnsi="仿宋" w:cs="仿宋" w:hint="eastAsia"/>
          <w:bCs/>
          <w:color w:val="000000"/>
          <w:kern w:val="0"/>
          <w:sz w:val="28"/>
          <w:szCs w:val="28"/>
        </w:rPr>
        <w:t>仅占10.81%，有89.19%的单位没有设置重点领域信息公开栏目。</w:t>
      </w:r>
    </w:p>
    <w:p w:rsidR="00381C45" w:rsidRDefault="00E9710F">
      <w:pPr>
        <w:ind w:firstLineChars="200" w:firstLine="560"/>
        <w:rPr>
          <w:rFonts w:ascii="仿宋" w:eastAsia="仿宋" w:hAnsi="仿宋" w:cs="仿宋"/>
          <w:bCs/>
          <w:sz w:val="28"/>
          <w:szCs w:val="28"/>
        </w:rPr>
      </w:pPr>
      <w:r>
        <w:rPr>
          <w:rFonts w:ascii="仿宋" w:eastAsia="仿宋" w:hAnsi="仿宋" w:cs="仿宋" w:hint="eastAsia"/>
          <w:bCs/>
          <w:color w:val="000000"/>
          <w:kern w:val="0"/>
          <w:sz w:val="28"/>
          <w:szCs w:val="28"/>
        </w:rPr>
        <w:t>（二）审计信息公开方面，牵头单位是审计厅，能够按照省政府办公厅要求及时公开相关信息。</w:t>
      </w:r>
      <w:r>
        <w:rPr>
          <w:rFonts w:ascii="仿宋" w:eastAsia="仿宋" w:hAnsi="仿宋" w:cs="仿宋" w:hint="eastAsia"/>
          <w:bCs/>
          <w:color w:val="000000"/>
          <w:kern w:val="0"/>
          <w:sz w:val="28"/>
          <w:szCs w:val="28"/>
        </w:rPr>
        <w:tab/>
      </w:r>
    </w:p>
    <w:p w:rsidR="00381C45" w:rsidRDefault="00E9710F">
      <w:pPr>
        <w:ind w:firstLineChars="200" w:firstLine="560"/>
        <w:rPr>
          <w:rFonts w:ascii="仿宋" w:eastAsia="仿宋" w:hAnsi="仿宋" w:cs="仿宋"/>
          <w:bCs/>
          <w:sz w:val="28"/>
          <w:szCs w:val="28"/>
        </w:rPr>
      </w:pPr>
      <w:r>
        <w:rPr>
          <w:rFonts w:ascii="仿宋" w:eastAsia="仿宋" w:hAnsi="仿宋" w:cs="仿宋" w:hint="eastAsia"/>
          <w:bCs/>
          <w:color w:val="000000"/>
          <w:kern w:val="0"/>
          <w:sz w:val="28"/>
          <w:szCs w:val="28"/>
        </w:rPr>
        <w:t>（三）减税、降费、降低要素成本信息公开方面，发改委、财政</w:t>
      </w:r>
      <w:r>
        <w:rPr>
          <w:rFonts w:ascii="仿宋" w:eastAsia="仿宋" w:hAnsi="仿宋" w:cs="仿宋" w:hint="eastAsia"/>
          <w:bCs/>
          <w:color w:val="000000"/>
          <w:kern w:val="0"/>
          <w:sz w:val="28"/>
          <w:szCs w:val="28"/>
        </w:rPr>
        <w:lastRenderedPageBreak/>
        <w:t>厅、工信厅均按照各自职责和省政府办公厅要求及时公开相关信息；地税局虽公开税收政策信息，但未开设税收优惠政策专栏；国土资源厅网站未及时公开降低企业用电用地用矿等要素成本各项政策措施及执行落实情况；人社厅未定期公布参加社会保险情况和社保基金运行情况。</w:t>
      </w:r>
    </w:p>
    <w:p w:rsidR="00381C45" w:rsidRDefault="00E9710F">
      <w:pPr>
        <w:ind w:firstLineChars="200" w:firstLine="560"/>
        <w:rPr>
          <w:rFonts w:ascii="仿宋" w:eastAsia="仿宋" w:hAnsi="仿宋" w:cs="仿宋"/>
          <w:bCs/>
          <w:sz w:val="28"/>
          <w:szCs w:val="28"/>
        </w:rPr>
      </w:pPr>
      <w:r>
        <w:rPr>
          <w:rFonts w:ascii="仿宋" w:eastAsia="仿宋" w:hAnsi="仿宋" w:cs="仿宋" w:hint="eastAsia"/>
          <w:bCs/>
          <w:color w:val="000000"/>
          <w:kern w:val="0"/>
          <w:sz w:val="28"/>
          <w:szCs w:val="28"/>
        </w:rPr>
        <w:t>（四）重点建设项目和公共资源配置信息公开方面，发改委公开信息符合要求，政务服务中心未将碳排放权、排污权纳入全省公共资源交易平台。</w:t>
      </w:r>
    </w:p>
    <w:p w:rsidR="00381C45" w:rsidRDefault="00E9710F">
      <w:pPr>
        <w:ind w:firstLineChars="200" w:firstLine="560"/>
        <w:rPr>
          <w:rFonts w:ascii="仿宋" w:eastAsia="仿宋" w:hAnsi="仿宋" w:cs="仿宋"/>
          <w:bCs/>
          <w:sz w:val="28"/>
          <w:szCs w:val="28"/>
        </w:rPr>
      </w:pPr>
      <w:r>
        <w:rPr>
          <w:rFonts w:ascii="仿宋" w:eastAsia="仿宋" w:hAnsi="仿宋" w:cs="仿宋" w:hint="eastAsia"/>
          <w:bCs/>
          <w:color w:val="000000"/>
          <w:kern w:val="0"/>
          <w:sz w:val="28"/>
          <w:szCs w:val="28"/>
        </w:rPr>
        <w:t>（五）政府和社会资本合作（PPP）项目信息公开方面，牵头单位财政厅和发改委都严格按照要求公开相关信息。</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（六）“放管服”改革信息公开方面</w:t>
      </w:r>
    </w:p>
    <w:p w:rsidR="00381C45" w:rsidRDefault="00E9710F">
      <w:pPr>
        <w:ind w:firstLineChars="200" w:firstLine="560"/>
        <w:rPr>
          <w:rFonts w:ascii="仿宋" w:eastAsia="仿宋" w:hAnsi="仿宋" w:cs="仿宋"/>
          <w:bCs/>
          <w:sz w:val="28"/>
          <w:szCs w:val="28"/>
        </w:rPr>
      </w:pPr>
      <w:r>
        <w:rPr>
          <w:rFonts w:ascii="仿宋" w:eastAsia="仿宋" w:hAnsi="仿宋" w:cs="仿宋" w:hint="eastAsia"/>
          <w:bCs/>
          <w:sz w:val="28"/>
          <w:szCs w:val="28"/>
        </w:rPr>
        <w:t>1.投资核准事项清单、政府定价或指导价经营服务性收费清单、中介服务事项清单、工商登记前置审批事项目录和企业设立后的经营许可清单等信息的集中发布，发改委部门网站未找到投资核准栏目。</w:t>
      </w:r>
    </w:p>
    <w:p w:rsidR="00381C45" w:rsidRDefault="00E9710F">
      <w:pPr>
        <w:pStyle w:val="a6"/>
        <w:widowControl/>
        <w:ind w:firstLine="560"/>
        <w:jc w:val="left"/>
        <w:rPr>
          <w:rFonts w:ascii="仿宋" w:eastAsia="仿宋" w:hAnsi="仿宋" w:cs="仿宋"/>
          <w:bCs/>
          <w:sz w:val="28"/>
          <w:szCs w:val="28"/>
        </w:rPr>
      </w:pPr>
      <w:r>
        <w:rPr>
          <w:rFonts w:ascii="仿宋" w:eastAsia="仿宋" w:hAnsi="仿宋" w:cs="仿宋" w:hint="eastAsia"/>
          <w:bCs/>
          <w:sz w:val="28"/>
          <w:szCs w:val="28"/>
        </w:rPr>
        <w:t>2.只有67.57的单位设置“双随机、一公开”专栏，未开设“双随机、一公开”专栏的单位有安监局、地税局、公安厅、公积金管理局、民宗委、农业厅、人防办、商务厅、审计厅、食药监局、卫计委、文体厅等12个，占32.43%。</w:t>
      </w:r>
    </w:p>
    <w:p w:rsidR="00381C45" w:rsidRDefault="00E9710F">
      <w:pPr>
        <w:pStyle w:val="a6"/>
        <w:widowControl/>
        <w:ind w:firstLine="560"/>
        <w:jc w:val="left"/>
        <w:rPr>
          <w:rFonts w:ascii="仿宋" w:eastAsia="仿宋" w:hAnsi="仿宋" w:cs="仿宋"/>
          <w:bCs/>
          <w:sz w:val="28"/>
          <w:szCs w:val="28"/>
        </w:rPr>
      </w:pPr>
      <w:r>
        <w:rPr>
          <w:rFonts w:ascii="仿宋" w:eastAsia="仿宋" w:hAnsi="仿宋" w:cs="仿宋" w:hint="eastAsia"/>
          <w:bCs/>
          <w:sz w:val="28"/>
          <w:szCs w:val="28"/>
        </w:rPr>
        <w:t>3.虽然在省政府门户网站均公开各部门的权责清单，但在本部门网站上公开自己权责清单的只有62.16%，但安监局、地税局、公安厅、公积金管理局、国资委、科技厅、林业厅、农业厅、人社厅、食药监局、水务厅、物价局、质监局、住建厅等14单位在部门网站无法查到权责清单。</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（七）国资国企信息公开方面，省国资委是牵头单位，开设有国资管理专栏，但未开设重点信息专栏，未发布省属企业履行社会责任重点工作情况。</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（八）农业供给侧结构性改革信息公开方面，农业厅开设农业供给侧结构性改革专栏，但下设子目录仅有动态信息、政策文件。</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（九）财税体制改革信息公开方面，财政厅严格按照要求公开了相关信息。</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十）发展新产业、培育新动能工作信息公开方面，工信厅作为牵头单位网站未开设新产业专栏，未集中公开支持创业创新、推动新产业健康发展、改造提升传统产业等政策及其执行情况，未及时发布推广典型经验做法相关信息。</w:t>
      </w:r>
    </w:p>
    <w:p w:rsidR="00381C45" w:rsidRDefault="00E9710F">
      <w:pPr>
        <w:pStyle w:val="a6"/>
        <w:ind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十一）消费升级和产品质量提升工作信息公开方面，商务厅和省工商局按照各自职责及时公开了相关信息，但省质监局部门网站未按要求开设产品质量监管专栏，并下设政策法规、标准、执法专项行动、产品质量监督抽查等子栏目。未公开生产领域产品质量监管政策法规、标准、程序和结果。</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（十二）扶贫脱贫和社会救助信息公开方面，省扶贫办和省民政厅按照要求履行了信息公开职责。</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（十三）环境保护信息公开方面，水务厅履行了信息公开职责，但生态环保厅网站未建立企业环境信息公开统一平台，未集中发布重点排污单位环境信息。</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（十四）教育卫生领域信息公开方面，省教育厅和省卫计委作为牵头单位积极履行了各自职责。</w:t>
      </w:r>
    </w:p>
    <w:p w:rsidR="00381C45" w:rsidRDefault="00E9710F">
      <w:pPr>
        <w:ind w:firstLineChars="200" w:firstLine="560"/>
        <w:rPr>
          <w:rFonts w:ascii="仿宋" w:eastAsia="仿宋" w:hAnsi="仿宋" w:cs="仿宋"/>
          <w:bCs/>
          <w:color w:val="000000"/>
          <w:kern w:val="0"/>
          <w:sz w:val="32"/>
          <w:szCs w:val="32"/>
        </w:rPr>
      </w:pPr>
      <w:r>
        <w:rPr>
          <w:rFonts w:ascii="仿宋" w:eastAsia="仿宋" w:hAnsi="仿宋" w:cs="仿宋" w:hint="eastAsia"/>
          <w:bCs/>
          <w:color w:val="000000"/>
          <w:kern w:val="0"/>
          <w:sz w:val="28"/>
          <w:szCs w:val="28"/>
        </w:rPr>
        <w:t>（十五）食品药品安全领域信息公开方面，省食药监局按照要求公开了相关信息。</w:t>
      </w:r>
    </w:p>
    <w:p w:rsidR="00381C45" w:rsidRDefault="00E9710F">
      <w:pPr>
        <w:ind w:firstLineChars="200" w:firstLine="560"/>
        <w:rPr>
          <w:rFonts w:ascii="仿宋" w:eastAsia="仿宋" w:hAnsi="仿宋" w:cs="仿宋"/>
          <w:bCs/>
          <w:color w:val="000000"/>
          <w:kern w:val="0"/>
          <w:sz w:val="32"/>
          <w:szCs w:val="32"/>
        </w:rPr>
      </w:pPr>
      <w:r>
        <w:rPr>
          <w:rFonts w:ascii="仿宋" w:eastAsia="仿宋" w:hAnsi="仿宋" w:cs="仿宋" w:hint="eastAsia"/>
          <w:bCs/>
          <w:color w:val="000000"/>
          <w:kern w:val="0"/>
          <w:sz w:val="28"/>
          <w:szCs w:val="28"/>
        </w:rPr>
        <w:t>（十六）房地产市场平稳健康发展的信息公开方面，省住建厅工作和省国土资源厅均按照要求公开了相关信息。</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十七）防范遏制重特大生产安全事故的信息公开方面，省安全监管局网站未按要求开设安全生产专栏，并下设预警信息、监管监察等子栏目，未集中发布重大风险隐患排查信息、常规检查执法、暗查暗访、突击检查、随机抽查等执法信息；省安监局未公布安全生产不良记录“黑名单”。</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十八）落实“五公开”工作机制公开方面，81.1%的单位在自己网站上公开了落实“五公开”工作机制，但省安监局、省发展和改革委员会、省工商管理局、省公积金管理局、省科学技术厅、省林业厅、省物价局未公开本部门的主动公开基本目录，不合格部门占18.9%。</w:t>
      </w:r>
    </w:p>
    <w:p w:rsidR="00381C45" w:rsidRDefault="00E9710F">
      <w:pPr>
        <w:ind w:firstLineChars="200" w:firstLine="56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二、政策解读方面</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（一）政策解读栏目设置上，有89.2%的评估对象均设置了政策解读栏目，但国资委、地税局、质监局、公积金管理局4个单位未设置，不合格率占10.8%。</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（二）解读形式方面，发改委，工信厅，人社厅等54.1%省政府部门未利用网站、微博、微信、政务客户端等多媒体解读或解读的形式少于两种。</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（三）解读时效性上，21.6%的省政府部门（包括农业厅、财政厅、文体厅、国土厅、海洋渔业厅、统计局、质监局、人防办）出台的重要政策性文件没有配套的解读材料。</w:t>
      </w:r>
    </w:p>
    <w:p w:rsidR="00381C45" w:rsidRDefault="00E9710F">
      <w:pPr>
        <w:ind w:firstLineChars="300" w:firstLine="843"/>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三、回应关切方面</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（一）回应关切栏目设置上，财政厅、发改委、农业厅等31个部门未设置回应关切栏目，不合格率占83.8%。</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（二）回应的及时性、有效性、权威性方面，所有部门均合格。</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（三）建议提案回应上，旅游委、教育厅、文体厅等21个部门未公开省人大代表建议和省政协委员提案办理结果，包括建议、提案办理复文或摘要，占所有评估部门的56.8%。</w:t>
      </w:r>
    </w:p>
    <w:p w:rsidR="00381C45" w:rsidRDefault="00E9710F">
      <w:pP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 xml:space="preserve">    四、在依申请公开方面</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（一）在渠道畅通性上，有2.7%的政府部门未设置依申请公开栏目。</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（二）有8.1 %的政府部门未公开受理机构的名称、办公地址、办公时间、联系电话、传真号码、申请获取政府信息的方式等内容</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三）在有无依申请公开受理程序及渠道（电子网络、信函、传真、当面现场申请）的程序或者流程图方面，绝大多数评估对象都设置了依申请公开栏目并公开相关内容，但省公积金管理局未设置依申请公开栏目、无相应的程序及流程图。</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（四）网站依申请平台、信函、传真、当面现场等申请渠道方面，本次是通过评估对象网站公开的电子邮箱申请信息公开的，有27%的评估对象对依申请公开内容不回复或者答复不及时。</w:t>
      </w:r>
    </w:p>
    <w:p w:rsidR="00381C45" w:rsidRDefault="00E9710F">
      <w:pPr>
        <w:ind w:firstLineChars="200" w:firstLine="56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（五）依申请公开答复的及时性和规范性方面</w:t>
      </w:r>
    </w:p>
    <w:p w:rsidR="00381C45" w:rsidRDefault="00E9710F">
      <w:pPr>
        <w:pStyle w:val="a6"/>
        <w:ind w:firstLineChars="300" w:firstLine="84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1.有21.6%的网站下载依申请公开表格不规范或搜索引擎功能不全。</w:t>
      </w:r>
    </w:p>
    <w:p w:rsidR="00381C45" w:rsidRDefault="00E9710F">
      <w:pPr>
        <w:pStyle w:val="a6"/>
        <w:ind w:firstLineChars="300" w:firstLine="84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2.有24.3%的评估对象在15个工作日内未给予答复。</w:t>
      </w:r>
    </w:p>
    <w:p w:rsidR="00381C45" w:rsidRDefault="00E9710F">
      <w:pPr>
        <w:pStyle w:val="a6"/>
        <w:ind w:firstLineChars="300" w:firstLine="84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3.有2.7%的省政府部门答复的内容形式不规范。</w:t>
      </w:r>
    </w:p>
    <w:p w:rsidR="00381C45" w:rsidRDefault="00E9710F" w:rsidP="008C2FED">
      <w:pPr>
        <w:pStyle w:val="a6"/>
        <w:ind w:firstLineChars="300" w:firstLine="84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4.有省公积金管理局由于没有设置依申请公开栏目、没有设置依申请公开表格下载、搜索引擎功能不全、没有设置依申请公开查询、没有依申请公开联系方式等，使社会公众无法申请信息公开。</w:t>
      </w:r>
      <w:bookmarkStart w:id="0" w:name="_GoBack"/>
      <w:bookmarkEnd w:id="0"/>
    </w:p>
    <w:p w:rsidR="00381C45" w:rsidRDefault="00381C45">
      <w:pPr>
        <w:ind w:firstLineChars="700" w:firstLine="2249"/>
        <w:jc w:val="left"/>
        <w:rPr>
          <w:rFonts w:ascii="仿宋" w:eastAsia="仿宋" w:hAnsi="仿宋" w:cs="仿宋"/>
          <w:b/>
          <w:sz w:val="32"/>
          <w:szCs w:val="32"/>
        </w:rPr>
      </w:pPr>
    </w:p>
    <w:p w:rsidR="00381C45" w:rsidRDefault="00E9710F">
      <w:pPr>
        <w:ind w:firstLineChars="700" w:firstLine="2249"/>
        <w:jc w:val="left"/>
        <w:rPr>
          <w:rFonts w:ascii="仿宋" w:eastAsia="仿宋" w:hAnsi="仿宋" w:cs="仿宋"/>
          <w:b/>
          <w:sz w:val="32"/>
          <w:szCs w:val="32"/>
        </w:rPr>
      </w:pPr>
      <w:r>
        <w:rPr>
          <w:rFonts w:ascii="仿宋" w:eastAsia="仿宋" w:hAnsi="仿宋" w:cs="仿宋" w:hint="eastAsia"/>
          <w:b/>
          <w:sz w:val="32"/>
          <w:szCs w:val="32"/>
        </w:rPr>
        <w:t xml:space="preserve">海南大学法学院法治政府建设工程项目组  </w:t>
      </w:r>
    </w:p>
    <w:p w:rsidR="00381C45" w:rsidRDefault="00E9710F">
      <w:pPr>
        <w:ind w:firstLineChars="700" w:firstLine="2249"/>
        <w:jc w:val="left"/>
        <w:rPr>
          <w:rFonts w:ascii="仿宋" w:eastAsia="仿宋" w:hAnsi="仿宋" w:cs="仿宋"/>
          <w:b/>
          <w:sz w:val="32"/>
          <w:szCs w:val="32"/>
        </w:rPr>
      </w:pPr>
      <w:r>
        <w:rPr>
          <w:rFonts w:ascii="仿宋" w:eastAsia="仿宋" w:hAnsi="仿宋" w:cs="仿宋" w:hint="eastAsia"/>
          <w:b/>
          <w:sz w:val="32"/>
          <w:szCs w:val="32"/>
        </w:rPr>
        <w:t xml:space="preserve">         2018年</w:t>
      </w:r>
      <w:r w:rsidR="00A45876">
        <w:rPr>
          <w:rFonts w:ascii="仿宋" w:eastAsia="仿宋" w:hAnsi="仿宋" w:cs="仿宋" w:hint="eastAsia"/>
          <w:b/>
          <w:sz w:val="32"/>
          <w:szCs w:val="32"/>
        </w:rPr>
        <w:t>4</w:t>
      </w:r>
      <w:r>
        <w:rPr>
          <w:rFonts w:ascii="仿宋" w:eastAsia="仿宋" w:hAnsi="仿宋" w:cs="仿宋" w:hint="eastAsia"/>
          <w:b/>
          <w:sz w:val="32"/>
          <w:szCs w:val="32"/>
        </w:rPr>
        <w:t>月</w:t>
      </w:r>
      <w:r w:rsidR="00A45876">
        <w:rPr>
          <w:rFonts w:ascii="仿宋" w:eastAsia="仿宋" w:hAnsi="仿宋" w:cs="仿宋" w:hint="eastAsia"/>
          <w:b/>
          <w:sz w:val="32"/>
          <w:szCs w:val="32"/>
        </w:rPr>
        <w:t>26</w:t>
      </w:r>
      <w:r>
        <w:rPr>
          <w:rFonts w:ascii="仿宋" w:eastAsia="仿宋" w:hAnsi="仿宋" w:cs="仿宋" w:hint="eastAsia"/>
          <w:b/>
          <w:sz w:val="32"/>
          <w:szCs w:val="32"/>
        </w:rPr>
        <w:t>日</w:t>
      </w:r>
    </w:p>
    <w:sectPr w:rsidR="00381C45" w:rsidSect="00381C4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3DA" w:rsidRDefault="00F843DA" w:rsidP="00381C45">
      <w:r>
        <w:separator/>
      </w:r>
    </w:p>
  </w:endnote>
  <w:endnote w:type="continuationSeparator" w:id="0">
    <w:p w:rsidR="00F843DA" w:rsidRDefault="00F843DA" w:rsidP="00381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C45" w:rsidRDefault="001D1622">
    <w:pPr>
      <w:pStyle w:val="a3"/>
      <w:jc w:val="center"/>
    </w:pPr>
    <w:r>
      <w:rPr>
        <w:rFonts w:hint="eastAsia"/>
      </w:rPr>
      <w:fldChar w:fldCharType="begin"/>
    </w:r>
    <w:r w:rsidR="00E9710F">
      <w:rPr>
        <w:rFonts w:hint="eastAsia"/>
      </w:rPr>
      <w:instrText xml:space="preserve"> PAGE  \* MERGEFORMAT </w:instrText>
    </w:r>
    <w:r>
      <w:rPr>
        <w:rFonts w:hint="eastAsia"/>
      </w:rPr>
      <w:fldChar w:fldCharType="separate"/>
    </w:r>
    <w:r w:rsidR="00F843DA">
      <w:rPr>
        <w:noProof/>
      </w:rPr>
      <w:t>1</w:t>
    </w:r>
    <w:r>
      <w:rPr>
        <w:rFonts w:hint="eastAs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3DA" w:rsidRDefault="00F843DA" w:rsidP="00381C45">
      <w:r>
        <w:separator/>
      </w:r>
    </w:p>
  </w:footnote>
  <w:footnote w:type="continuationSeparator" w:id="0">
    <w:p w:rsidR="00F843DA" w:rsidRDefault="00F843DA" w:rsidP="00381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A9C7"/>
    <w:multiLevelType w:val="singleLevel"/>
    <w:tmpl w:val="0C80A9C7"/>
    <w:lvl w:ilvl="0">
      <w:start w:val="2"/>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savePreviewPicture/>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6F0B"/>
    <w:rsid w:val="00025CE7"/>
    <w:rsid w:val="00026777"/>
    <w:rsid w:val="000742F8"/>
    <w:rsid w:val="00080F27"/>
    <w:rsid w:val="00084A56"/>
    <w:rsid w:val="000D6EE9"/>
    <w:rsid w:val="00106BF4"/>
    <w:rsid w:val="0017504E"/>
    <w:rsid w:val="001D1622"/>
    <w:rsid w:val="00237466"/>
    <w:rsid w:val="00242AE4"/>
    <w:rsid w:val="002431F9"/>
    <w:rsid w:val="0025052E"/>
    <w:rsid w:val="00305B8A"/>
    <w:rsid w:val="00335493"/>
    <w:rsid w:val="00354076"/>
    <w:rsid w:val="00381C45"/>
    <w:rsid w:val="003B765E"/>
    <w:rsid w:val="003C78F9"/>
    <w:rsid w:val="004D3A39"/>
    <w:rsid w:val="00532293"/>
    <w:rsid w:val="00556267"/>
    <w:rsid w:val="00591E8A"/>
    <w:rsid w:val="00634337"/>
    <w:rsid w:val="006F54DB"/>
    <w:rsid w:val="00721069"/>
    <w:rsid w:val="0074521C"/>
    <w:rsid w:val="007E6133"/>
    <w:rsid w:val="0080025C"/>
    <w:rsid w:val="00884402"/>
    <w:rsid w:val="008C2FED"/>
    <w:rsid w:val="00931B80"/>
    <w:rsid w:val="00951B0A"/>
    <w:rsid w:val="00953E2B"/>
    <w:rsid w:val="009541B8"/>
    <w:rsid w:val="009718A8"/>
    <w:rsid w:val="009D270E"/>
    <w:rsid w:val="009E71AA"/>
    <w:rsid w:val="00A3714A"/>
    <w:rsid w:val="00A45876"/>
    <w:rsid w:val="00A7331C"/>
    <w:rsid w:val="00AE2B1D"/>
    <w:rsid w:val="00BB794F"/>
    <w:rsid w:val="00BE3D45"/>
    <w:rsid w:val="00C148F3"/>
    <w:rsid w:val="00C46F0B"/>
    <w:rsid w:val="00C74AE2"/>
    <w:rsid w:val="00CE0400"/>
    <w:rsid w:val="00D27561"/>
    <w:rsid w:val="00E9710F"/>
    <w:rsid w:val="00EF4E02"/>
    <w:rsid w:val="00F03E5B"/>
    <w:rsid w:val="00F06D38"/>
    <w:rsid w:val="00F843DA"/>
    <w:rsid w:val="024E3404"/>
    <w:rsid w:val="03F17F90"/>
    <w:rsid w:val="0513136C"/>
    <w:rsid w:val="052F78D7"/>
    <w:rsid w:val="0A72067E"/>
    <w:rsid w:val="0B382085"/>
    <w:rsid w:val="0C2E4AA7"/>
    <w:rsid w:val="0EF049B7"/>
    <w:rsid w:val="0F645C94"/>
    <w:rsid w:val="124E4BA7"/>
    <w:rsid w:val="16176BA7"/>
    <w:rsid w:val="168743A2"/>
    <w:rsid w:val="16BB397A"/>
    <w:rsid w:val="1EF51621"/>
    <w:rsid w:val="205A73AD"/>
    <w:rsid w:val="21776CBE"/>
    <w:rsid w:val="28037802"/>
    <w:rsid w:val="32D35157"/>
    <w:rsid w:val="341C5F61"/>
    <w:rsid w:val="416B7B88"/>
    <w:rsid w:val="45424A4A"/>
    <w:rsid w:val="4F444295"/>
    <w:rsid w:val="514D0392"/>
    <w:rsid w:val="594D0DB2"/>
    <w:rsid w:val="5A071ED4"/>
    <w:rsid w:val="5A3455FD"/>
    <w:rsid w:val="5A9750AD"/>
    <w:rsid w:val="5F93005B"/>
    <w:rsid w:val="68062343"/>
    <w:rsid w:val="6B26261B"/>
    <w:rsid w:val="6C5236FF"/>
    <w:rsid w:val="6C976262"/>
    <w:rsid w:val="70384318"/>
    <w:rsid w:val="72C81D1A"/>
    <w:rsid w:val="7E5E5D3D"/>
    <w:rsid w:val="7F9E2D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C4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81C4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81C45"/>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381C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381C45"/>
    <w:rPr>
      <w:sz w:val="18"/>
      <w:szCs w:val="18"/>
    </w:rPr>
  </w:style>
  <w:style w:type="character" w:customStyle="1" w:styleId="Char">
    <w:name w:val="页脚 Char"/>
    <w:basedOn w:val="a0"/>
    <w:link w:val="a3"/>
    <w:uiPriority w:val="99"/>
    <w:qFormat/>
    <w:rsid w:val="00381C45"/>
    <w:rPr>
      <w:sz w:val="18"/>
      <w:szCs w:val="18"/>
    </w:rPr>
  </w:style>
  <w:style w:type="paragraph" w:styleId="a6">
    <w:name w:val="List Paragraph"/>
    <w:basedOn w:val="a"/>
    <w:uiPriority w:val="99"/>
    <w:unhideWhenUsed/>
    <w:qFormat/>
    <w:rsid w:val="00381C4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443</Words>
  <Characters>2528</Characters>
  <Application>Microsoft Office Word</Application>
  <DocSecurity>0</DocSecurity>
  <Lines>21</Lines>
  <Paragraphs>5</Paragraphs>
  <ScaleCrop>false</ScaleCrop>
  <Company>Hewlett-Packard Company</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wangmeng</dc:creator>
  <cp:lastModifiedBy>hp</cp:lastModifiedBy>
  <cp:revision>16</cp:revision>
  <dcterms:created xsi:type="dcterms:W3CDTF">2017-05-28T08:06:00Z</dcterms:created>
  <dcterms:modified xsi:type="dcterms:W3CDTF">2018-06-01T10:33:00Z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